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74C67" w14:textId="78F45597" w:rsidR="009558D1" w:rsidRPr="009558D1" w:rsidRDefault="009558D1" w:rsidP="009558D1">
      <w:pPr>
        <w:spacing w:before="240" w:after="0"/>
        <w:rPr>
          <w:b/>
          <w:bCs/>
        </w:rPr>
      </w:pPr>
      <w:r w:rsidRPr="009558D1">
        <w:rPr>
          <w:b/>
          <w:bCs/>
        </w:rPr>
        <w:t>Which CGT event applies when an asset is transferred to a trustee of a trust – A1 or E2?</w:t>
      </w:r>
    </w:p>
    <w:p w14:paraId="35DAF4B1" w14:textId="77777777" w:rsidR="009558D1" w:rsidRPr="009558D1" w:rsidRDefault="009558D1" w:rsidP="009558D1">
      <w:pPr>
        <w:spacing w:before="240" w:after="0"/>
        <w:rPr>
          <w:i/>
          <w:iCs/>
        </w:rPr>
      </w:pPr>
      <w:r w:rsidRPr="009558D1">
        <w:rPr>
          <w:i/>
          <w:iCs/>
        </w:rPr>
        <w:t>What is the answer and why does it matter?</w:t>
      </w:r>
    </w:p>
    <w:p w14:paraId="4A53FFE9" w14:textId="35431524" w:rsidR="009558D1" w:rsidRDefault="009558D1" w:rsidP="00025185">
      <w:pPr>
        <w:spacing w:before="240" w:after="0"/>
      </w:pPr>
      <w:r w:rsidRPr="009558D1">
        <w:rPr>
          <w:i/>
          <w:iCs/>
        </w:rPr>
        <w:t>Consider in context of Healey v FCT [2012] FCFCA 194 and ATO ID 2003/559</w:t>
      </w:r>
    </w:p>
    <w:p w14:paraId="34F03B9A" w14:textId="0CC36CDE" w:rsidR="00673F84" w:rsidRPr="00673F84" w:rsidRDefault="00673F84" w:rsidP="00025185">
      <w:pPr>
        <w:spacing w:before="240" w:after="0"/>
      </w:pPr>
      <w:r>
        <w:t>In substance, this question revolves around s</w:t>
      </w:r>
      <w:r w:rsidR="006E33FE">
        <w:t>ubsection 102-25</w:t>
      </w:r>
      <w:r w:rsidR="003B1142">
        <w:t>(1) ITAA 1997 which tells us that if more than one event can happen</w:t>
      </w:r>
      <w:r w:rsidR="002C22CC">
        <w:t>, the one you use is the most specific to your situation.</w:t>
      </w:r>
    </w:p>
    <w:p w14:paraId="7F69180B" w14:textId="77777777" w:rsidR="003476C3" w:rsidRDefault="003476C3" w:rsidP="003476C3">
      <w:pPr>
        <w:spacing w:before="240" w:after="0"/>
        <w:rPr>
          <w:b/>
          <w:bCs/>
        </w:rPr>
      </w:pPr>
      <w:r w:rsidRPr="00C3132A">
        <w:rPr>
          <w:b/>
          <w:bCs/>
        </w:rPr>
        <w:t>ATO ID 2003/559</w:t>
      </w:r>
      <w:r>
        <w:rPr>
          <w:b/>
          <w:bCs/>
        </w:rPr>
        <w:t xml:space="preserve"> - </w:t>
      </w:r>
      <w:r w:rsidRPr="00C3132A">
        <w:rPr>
          <w:b/>
          <w:bCs/>
        </w:rPr>
        <w:t>Disposal of a CGT asset to a trust: application of CGT event A1 or CGT event E2</w:t>
      </w:r>
    </w:p>
    <w:p w14:paraId="3DD2285F" w14:textId="2DBE2818" w:rsidR="00336BD6" w:rsidRDefault="00A43F11" w:rsidP="003476C3">
      <w:pPr>
        <w:spacing w:before="240" w:after="0"/>
      </w:pPr>
      <w:r>
        <w:t>This</w:t>
      </w:r>
      <w:r w:rsidR="000E10CE">
        <w:t xml:space="preserve"> interpretive decision puts forth </w:t>
      </w:r>
      <w:r w:rsidR="00476C7C">
        <w:t xml:space="preserve">a simple example, taxpayer selling post CGT land to </w:t>
      </w:r>
      <w:r>
        <w:t>a trustee of a trust via a real estate agent.</w:t>
      </w:r>
    </w:p>
    <w:p w14:paraId="22D83A88" w14:textId="120F893D" w:rsidR="00845D5E" w:rsidRDefault="00A43F11" w:rsidP="003476C3">
      <w:pPr>
        <w:spacing w:before="240" w:after="0"/>
      </w:pPr>
      <w:r>
        <w:t>It suggests that in this scenario CGT event A1</w:t>
      </w:r>
      <w:r w:rsidR="00845D5E">
        <w:t xml:space="preserve"> is considered more specific where the parties are unconnected and dealing at arm’s length, whereas </w:t>
      </w:r>
      <w:r w:rsidR="00845D5E" w:rsidRPr="00845D5E">
        <w:t>CGT event E2 is more applicable when the parties are connected, such as when the transferor or their associate is a beneficiary of the trust.</w:t>
      </w:r>
    </w:p>
    <w:p w14:paraId="0E869D2E" w14:textId="47C0E1CC" w:rsidR="00427EEF" w:rsidRPr="00427EEF" w:rsidRDefault="00427EEF" w:rsidP="003476C3">
      <w:pPr>
        <w:spacing w:before="240" w:after="0"/>
        <w:rPr>
          <w:b/>
          <w:bCs/>
        </w:rPr>
      </w:pPr>
      <w:r>
        <w:rPr>
          <w:b/>
          <w:bCs/>
        </w:rPr>
        <w:t>Detail of Ruling</w:t>
      </w:r>
    </w:p>
    <w:p w14:paraId="7DCC4E03" w14:textId="77777777" w:rsidR="003476C3" w:rsidRPr="009558D1" w:rsidRDefault="003476C3" w:rsidP="003476C3">
      <w:pPr>
        <w:spacing w:before="240" w:after="0"/>
        <w:rPr>
          <w:u w:val="single"/>
        </w:rPr>
      </w:pPr>
      <w:r w:rsidRPr="009558D1">
        <w:rPr>
          <w:u w:val="single"/>
        </w:rPr>
        <w:t>Issue</w:t>
      </w:r>
    </w:p>
    <w:p w14:paraId="21D9B836" w14:textId="77777777" w:rsidR="003476C3" w:rsidRDefault="003476C3" w:rsidP="003476C3">
      <w:pPr>
        <w:spacing w:before="240" w:after="0"/>
      </w:pPr>
      <w:r>
        <w:t>The issue addressed is whether CGT event A1 (section 104-10 of the ITAA 1997) is the most specific CGT event that happens, rather than CGT event E2 (section 104-60 of the ITAA 1997), when a taxpayer disposes of an asset to a trust that is not connected with the taxpayer.</w:t>
      </w:r>
    </w:p>
    <w:p w14:paraId="387CB17B" w14:textId="77777777" w:rsidR="003476C3" w:rsidRPr="009558D1" w:rsidRDefault="003476C3" w:rsidP="003476C3">
      <w:pPr>
        <w:spacing w:before="240" w:after="0"/>
        <w:rPr>
          <w:u w:val="single"/>
        </w:rPr>
      </w:pPr>
      <w:r w:rsidRPr="009558D1">
        <w:rPr>
          <w:u w:val="single"/>
        </w:rPr>
        <w:t>Decision</w:t>
      </w:r>
    </w:p>
    <w:p w14:paraId="22B18890" w14:textId="77777777" w:rsidR="003476C3" w:rsidRDefault="003476C3" w:rsidP="003476C3">
      <w:pPr>
        <w:spacing w:before="240" w:after="0"/>
      </w:pPr>
      <w:r>
        <w:t>Yes, CGT event A1 is the most specific event that happens in these circumstances.</w:t>
      </w:r>
    </w:p>
    <w:p w14:paraId="0FD0BDBA" w14:textId="77777777" w:rsidR="003476C3" w:rsidRPr="009558D1" w:rsidRDefault="003476C3" w:rsidP="003476C3">
      <w:pPr>
        <w:spacing w:before="240" w:after="0"/>
        <w:rPr>
          <w:u w:val="single"/>
        </w:rPr>
      </w:pPr>
      <w:r w:rsidRPr="009558D1">
        <w:rPr>
          <w:u w:val="single"/>
        </w:rPr>
        <w:t>Facts</w:t>
      </w:r>
    </w:p>
    <w:p w14:paraId="560B5200" w14:textId="77777777" w:rsidR="003476C3" w:rsidRDefault="003476C3" w:rsidP="003476C3">
      <w:pPr>
        <w:spacing w:before="240" w:after="0"/>
      </w:pPr>
      <w:r>
        <w:t>The taxpayer owned land acquired after 19 September 1985.</w:t>
      </w:r>
    </w:p>
    <w:p w14:paraId="0B55A424" w14:textId="77777777" w:rsidR="003476C3" w:rsidRDefault="003476C3" w:rsidP="003476C3">
      <w:pPr>
        <w:spacing w:before="240" w:after="0"/>
      </w:pPr>
      <w:r>
        <w:t>The land was sold through a real estate agent to a trustee of a trust.</w:t>
      </w:r>
    </w:p>
    <w:p w14:paraId="6F86C042" w14:textId="77777777" w:rsidR="003476C3" w:rsidRDefault="003476C3" w:rsidP="003476C3">
      <w:pPr>
        <w:spacing w:before="240" w:after="0"/>
      </w:pPr>
      <w:r>
        <w:t>The taxpayer and the trustee dealt at arm’s length and had no other connections.</w:t>
      </w:r>
    </w:p>
    <w:p w14:paraId="1F8A933F" w14:textId="77777777" w:rsidR="003476C3" w:rsidRPr="009558D1" w:rsidRDefault="003476C3" w:rsidP="003476C3">
      <w:pPr>
        <w:spacing w:before="240" w:after="0"/>
        <w:rPr>
          <w:u w:val="single"/>
        </w:rPr>
      </w:pPr>
      <w:r w:rsidRPr="009558D1">
        <w:rPr>
          <w:u w:val="single"/>
        </w:rPr>
        <w:t>Reasons for Decision</w:t>
      </w:r>
    </w:p>
    <w:p w14:paraId="223FA7B0" w14:textId="77777777" w:rsidR="003476C3" w:rsidRDefault="003476C3" w:rsidP="003476C3">
      <w:pPr>
        <w:spacing w:before="240" w:after="0"/>
      </w:pPr>
      <w:r>
        <w:t>CGT event A1 occurs when the ownership of a CGT asset changes.</w:t>
      </w:r>
    </w:p>
    <w:p w14:paraId="7F10CF91" w14:textId="77777777" w:rsidR="003476C3" w:rsidRDefault="003476C3" w:rsidP="003476C3">
      <w:pPr>
        <w:spacing w:before="240" w:after="0"/>
      </w:pPr>
      <w:r>
        <w:t>CGT event E2 occurs when a CGT asset is transferred to an existing trust.</w:t>
      </w:r>
    </w:p>
    <w:p w14:paraId="42F7FC90" w14:textId="77777777" w:rsidR="003476C3" w:rsidRDefault="003476C3" w:rsidP="003476C3">
      <w:pPr>
        <w:spacing w:before="240" w:after="0"/>
      </w:pPr>
      <w:r>
        <w:t>If multiple CGT events happen, the most specific event is used (subsection 102-25(1) of the ITAA 1997).</w:t>
      </w:r>
    </w:p>
    <w:p w14:paraId="3EA10923" w14:textId="77777777" w:rsidR="003476C3" w:rsidRDefault="003476C3" w:rsidP="003476C3">
      <w:pPr>
        <w:spacing w:before="240" w:after="0"/>
      </w:pPr>
      <w:r>
        <w:t>CGT event A1 is considered the most specific event when the parties are unconnected and dealing at arm’s length.</w:t>
      </w:r>
    </w:p>
    <w:p w14:paraId="42E861FA" w14:textId="77777777" w:rsidR="003476C3" w:rsidRDefault="003476C3" w:rsidP="003476C3">
      <w:pPr>
        <w:spacing w:before="240" w:after="0"/>
      </w:pPr>
      <w:r>
        <w:t>CGT event E2 is more applicable when the parties are connected, such as when the transferor or their associate is a beneficiary of the trust.</w:t>
      </w:r>
    </w:p>
    <w:p w14:paraId="570895D6" w14:textId="03DAFFE4" w:rsidR="003476C3" w:rsidRDefault="003476C3" w:rsidP="00025185">
      <w:pPr>
        <w:spacing w:before="240" w:after="0"/>
      </w:pPr>
      <w:r>
        <w:t>In this case, since the taxpayer and the trustee were unconnected and dealt at arm’s length, CGT event A1 is the most specific event that applies.</w:t>
      </w:r>
    </w:p>
    <w:p w14:paraId="63AA9D24" w14:textId="77777777" w:rsidR="003476C3" w:rsidRPr="0052759B" w:rsidRDefault="003476C3" w:rsidP="00025185">
      <w:pPr>
        <w:spacing w:before="240" w:after="0"/>
      </w:pPr>
    </w:p>
    <w:p w14:paraId="357E4263" w14:textId="53688B29" w:rsidR="00A612C3" w:rsidRPr="000D2488" w:rsidRDefault="00C3132A" w:rsidP="00025185">
      <w:pPr>
        <w:spacing w:before="240" w:after="0"/>
        <w:rPr>
          <w:b/>
          <w:bCs/>
        </w:rPr>
      </w:pPr>
      <w:r w:rsidRPr="00C3132A">
        <w:rPr>
          <w:b/>
          <w:bCs/>
          <w:i/>
          <w:iCs/>
        </w:rPr>
        <w:t>Healey v Commissioner of Taxation</w:t>
      </w:r>
      <w:r w:rsidRPr="00C3132A">
        <w:rPr>
          <w:b/>
          <w:bCs/>
        </w:rPr>
        <w:t xml:space="preserve"> [2012] FCAFC 194</w:t>
      </w:r>
    </w:p>
    <w:p w14:paraId="26481248" w14:textId="4FE8EAA3" w:rsidR="007E2A47" w:rsidRDefault="00025185" w:rsidP="00025185">
      <w:pPr>
        <w:spacing w:before="240" w:after="0"/>
      </w:pPr>
      <w:r w:rsidRPr="00025185">
        <w:t xml:space="preserve">In this case, the taxpayer, Healey, was a beneficiary of a trust that sold shares, resulting in a capital gain. The shares were sold for </w:t>
      </w:r>
      <w:r w:rsidR="002C7DC5" w:rsidRPr="00025185">
        <w:t>$17 million but</w:t>
      </w:r>
      <w:r w:rsidRPr="00025185">
        <w:t xml:space="preserve"> had been transferred to the trust for $3 million under an arrangement made 19 months earlier. </w:t>
      </w:r>
    </w:p>
    <w:p w14:paraId="4DEF43E0" w14:textId="4FDC3CD2" w:rsidR="007F72B7" w:rsidRDefault="00071CBB" w:rsidP="00025185">
      <w:pPr>
        <w:spacing w:before="240" w:after="0"/>
      </w:pPr>
      <w:r>
        <w:t>The Federal</w:t>
      </w:r>
      <w:r w:rsidRPr="00071CBB">
        <w:t xml:space="preserve"> Court at first instance ruled that the taxpayer was not entitled to the CGT 50% discount as the trust had acquired the shares </w:t>
      </w:r>
      <w:r w:rsidR="009E2E05">
        <w:t>less than</w:t>
      </w:r>
      <w:r w:rsidRPr="00071CBB">
        <w:t xml:space="preserve"> 12 months of their sale under the “acquisition” rules that apply to CGT event E2 on the transfer of an asset to a trust (and were in fact sold on the same day they were acquired by the trust). </w:t>
      </w:r>
    </w:p>
    <w:p w14:paraId="256E51BC" w14:textId="6F0BCB21" w:rsidR="007E2A47" w:rsidRDefault="00071CBB" w:rsidP="00025185">
      <w:pPr>
        <w:spacing w:before="240" w:after="0"/>
      </w:pPr>
      <w:r w:rsidRPr="00071CBB">
        <w:t>The Court at first instance also dismissed the taxpayer’s claim that, as the trust and the party from whom it acquired the shares were not dealing with each other at arm’s length, the market value substitution rules applied to impose a market value cost base for the shares of $17m (and not $3m), thereby negating any capital gain made on their sale.</w:t>
      </w:r>
    </w:p>
    <w:p w14:paraId="52288FD4" w14:textId="5243BB33" w:rsidR="007E2A47" w:rsidRDefault="00D45B9F" w:rsidP="00025185">
      <w:pPr>
        <w:spacing w:before="240" w:after="0"/>
      </w:pPr>
      <w:r w:rsidRPr="00D45B9F">
        <w:t>On appeal, the taxpayer only challenged the dismissal of her argument that the trust and the party from whom it acquired the shares were not dealing at arm’s length.</w:t>
      </w:r>
    </w:p>
    <w:p w14:paraId="4BDFF224" w14:textId="144264FA" w:rsidR="00025185" w:rsidRPr="00025185" w:rsidRDefault="00025185" w:rsidP="00025185">
      <w:pPr>
        <w:spacing w:before="240" w:after="0"/>
      </w:pPr>
      <w:r w:rsidRPr="00025185">
        <w:t>The taxpayer argued that the market value substitution rule should apply, which would set the cost base of the shares at $17 million, thereby eliminating the capital gain.</w:t>
      </w:r>
    </w:p>
    <w:p w14:paraId="1EDF35E3" w14:textId="44160D4E" w:rsidR="00025185" w:rsidRPr="00025185" w:rsidRDefault="00025185" w:rsidP="00025185">
      <w:pPr>
        <w:spacing w:before="240" w:after="0"/>
      </w:pPr>
      <w:r w:rsidRPr="00025185">
        <w:t>The Full Federal Court dismissed the taxpayer’s appeal, upholding the original decision</w:t>
      </w:r>
      <w:r>
        <w:t xml:space="preserve">. </w:t>
      </w:r>
      <w:r w:rsidRPr="00025185">
        <w:t>The Court found that the taxpayer did not prove that the trust and the party from whom it acquired the shares were not dealing at arm’s length. The Court emphasized the lack of evidence to support the taxpayer’s claim, noting that the nature of the dealings between the trust and the other party was not sufficiently demonstrated.</w:t>
      </w:r>
    </w:p>
    <w:p w14:paraId="57AD6F83" w14:textId="24DE5DD6" w:rsidR="00C30E13" w:rsidRDefault="00025185" w:rsidP="00025185">
      <w:pPr>
        <w:spacing w:before="240" w:after="0"/>
      </w:pPr>
      <w:r w:rsidRPr="00025185">
        <w:t>The Court also noted that the taxpayer failed to establish what the market value of the shares would have been on the day the trust acquired them. As a result, the capital gain of $14 million was confirmed to be assessable</w:t>
      </w:r>
      <w:r>
        <w:t>.</w:t>
      </w:r>
    </w:p>
    <w:p w14:paraId="01C29B7C" w14:textId="77777777" w:rsidR="009558D1" w:rsidRDefault="009558D1" w:rsidP="00025185">
      <w:pPr>
        <w:spacing w:before="240" w:after="0"/>
      </w:pPr>
    </w:p>
    <w:sectPr w:rsidR="009558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946A7"/>
    <w:multiLevelType w:val="hybridMultilevel"/>
    <w:tmpl w:val="55C4AC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204093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85"/>
    <w:rsid w:val="00025185"/>
    <w:rsid w:val="00071CBB"/>
    <w:rsid w:val="000870C3"/>
    <w:rsid w:val="000D2488"/>
    <w:rsid w:val="000E10CE"/>
    <w:rsid w:val="002C22CC"/>
    <w:rsid w:val="002C7DC5"/>
    <w:rsid w:val="002F2BAD"/>
    <w:rsid w:val="00336BD6"/>
    <w:rsid w:val="003476C3"/>
    <w:rsid w:val="003B1142"/>
    <w:rsid w:val="00427EEF"/>
    <w:rsid w:val="00476C7C"/>
    <w:rsid w:val="0052759B"/>
    <w:rsid w:val="00553578"/>
    <w:rsid w:val="0064210E"/>
    <w:rsid w:val="00673F84"/>
    <w:rsid w:val="006E33FE"/>
    <w:rsid w:val="007E2A47"/>
    <w:rsid w:val="007F72B7"/>
    <w:rsid w:val="00845D5E"/>
    <w:rsid w:val="009558D1"/>
    <w:rsid w:val="009E2E05"/>
    <w:rsid w:val="00A43F11"/>
    <w:rsid w:val="00A50C4C"/>
    <w:rsid w:val="00A612C3"/>
    <w:rsid w:val="00C30E13"/>
    <w:rsid w:val="00C3132A"/>
    <w:rsid w:val="00D45B9F"/>
    <w:rsid w:val="00DD14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630A"/>
  <w15:chartTrackingRefBased/>
  <w15:docId w15:val="{5694E198-68FD-432A-81E7-9F0D0F83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3F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Findex</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Edwards</dc:creator>
  <cp:keywords/>
  <dc:description/>
  <cp:lastModifiedBy>Jordan Edwards</cp:lastModifiedBy>
  <cp:revision>24</cp:revision>
  <dcterms:created xsi:type="dcterms:W3CDTF">2024-08-08T03:53:00Z</dcterms:created>
  <dcterms:modified xsi:type="dcterms:W3CDTF">2024-08-28T00:56:00Z</dcterms:modified>
</cp:coreProperties>
</file>