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Weekly Update</w:t>
      </w:r>
    </w:p>
    <w:p>
      <w:pPr>
        <w:pStyle w:val="Author"/>
      </w:pPr>
      <w:r>
        <w:t xml:space="preserve">Jordan Gewing-Mullins &amp; Matthew Jarvis</w:t>
      </w:r>
    </w:p>
    <w:p>
      <w:pPr>
        <w:pStyle w:val="Date"/>
      </w:pPr>
      <w:r>
        <w:t xml:space="preserve">March 13, 2026</w:t>
      </w:r>
    </w:p>
    <w:bookmarkStart w:id="13" w:name="tf-idf-baseline"/>
    <w:p>
      <w:pPr>
        <w:pStyle w:val="Heading1"/>
      </w:pPr>
      <w:r>
        <w:t xml:space="preserve">TF-IDF Baseline</w:t>
      </w:r>
    </w:p>
    <w:p>
      <w:pPr>
        <w:pStyle w:val="FirstParagraph"/>
      </w:pPr>
      <w:r>
        <w:t xml:space="preserve">As an initial baseline, we implemented a text classification model using Term Frequency–Inverse Document Frequency (TF-IDF) features combined with logistic regression. TF-IDF is a widely used technique in natural language processing that converts text into numerical features based on how frequently words appear in a document relative to the entire corpus. This representation emphasizes words that are informative for distinguishing between classes while down-weighting words that appear frequently across many documents.</w:t>
      </w:r>
    </w:p>
    <w:p>
      <w:pPr>
        <w:pStyle w:val="BodyText"/>
      </w:pPr>
      <w:r>
        <w:t xml:space="preserve">We chose TF-IDF as a baseline because it provides a simple and interpretable method for modeling textual data. If relationships between questions and correct sensors could be captured through straightforward lexical signals (for example, keywords such as</w:t>
      </w:r>
      <w:r>
        <w:t xml:space="preserve"> </w:t>
      </w:r>
      <w:r>
        <w:t xml:space="preserve">“vibration”</w:t>
      </w:r>
      <w:r>
        <w:t xml:space="preserve">,</w:t>
      </w:r>
      <w:r>
        <w:t xml:space="preserve"> </w:t>
      </w:r>
      <w:r>
        <w:t xml:space="preserve">“pressure”</w:t>
      </w:r>
      <w:r>
        <w:t xml:space="preserve">, or</w:t>
      </w:r>
      <w:r>
        <w:t xml:space="preserve"> </w:t>
      </w:r>
      <w:r>
        <w:t xml:space="preserve">“temperature”</w:t>
      </w:r>
      <w:r>
        <w:t xml:space="preserve">), then a TF-IDF model would likely perform well. Establishing such a baseline allows us to determine whether the dataset can be solved using simple word-frequency features or whether more complex contextual models are necessary.</w:t>
      </w:r>
    </w:p>
    <w:p>
      <w:pPr>
        <w:pStyle w:val="BodyText"/>
      </w:pPr>
      <w:r>
        <w:t xml:space="preserve">To train the model, each question was converted into multiple training examples by pairing the question and asset context with each candidate sensor option. The model then predicted whether each option represented the correct answer. Because each question contains one correct option and several incorrect ones, this formulation produces a binary classification problem in which the model predicts whether a given sensor is relevant to the described failure scenario.</w:t>
      </w:r>
    </w:p>
    <w:bookmarkStart w:id="10" w:name="model-performance"/>
    <w:p>
      <w:pPr>
        <w:pStyle w:val="Heading2"/>
      </w:pPr>
      <w:r>
        <w:t xml:space="preserve">Model Performance</w:t>
      </w:r>
    </w:p>
    <w:p>
      <w:pPr>
        <w:pStyle w:val="FirstParagraph"/>
      </w:pPr>
      <w:r>
        <w:t xml:space="preserve">Table </w:t>
      </w:r>
      <w:hyperlink w:anchor="tab:tfidf_results">
        <w:r>
          <w:rPr>
            <w:rStyle w:val="Hyperlink"/>
          </w:rPr>
          <w:t xml:space="preserve">1</w:t>
        </w:r>
      </w:hyperlink>
      <w:r>
        <w:t xml:space="preserve"> </w:t>
      </w:r>
      <w:r>
        <w:t xml:space="preserve">summarizes the performance of the best TF-IDF logistic regression model on the test dataset.</w:t>
      </w:r>
    </w:p>
    <w:bookmarkStart w:id="9" w:name="tab:tfidf_results"/>
    <w:p>
      <w:pPr>
        <w:pStyle w:val="TableCaption"/>
      </w:pPr>
      <w:r>
        <w:t xml:space="preserve">Performance of the TF-IDF logistic regression baseline model.</w:t>
      </w:r>
    </w:p>
    <w:tbl>
      <w:tblPr>
        <w:tblStyle w:val="Table"/>
        <w:tblW w:type="auto" w:w="0"/>
        <w:tblLook w:firstRow="1" w:lastRow="0" w:firstColumn="0" w:lastColumn="0" w:noHBand="0" w:noVBand="0" w:val="0020"/>
        <w:tblCaption w:val="Performance of the TF-IDF logistic regression baseline model."/>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 Score</w:t>
            </w:r>
          </w:p>
        </w:tc>
      </w:tr>
      <w:tr>
        <w:tc>
          <w:tcPr/>
          <w:p>
            <w:pPr>
              <w:pStyle w:val="Compact"/>
              <w:jc w:val="left"/>
            </w:pPr>
            <w:r>
              <w:t xml:space="preserve">TF-IDF + Logistic Regression</w:t>
            </w:r>
          </w:p>
        </w:tc>
        <w:tc>
          <w:tcPr/>
          <w:p>
            <w:pPr>
              <w:pStyle w:val="Compact"/>
              <w:jc w:val="center"/>
            </w:pPr>
            <w:r>
              <w:t xml:space="preserve">0.54</w:t>
            </w:r>
          </w:p>
        </w:tc>
        <w:tc>
          <w:tcPr/>
          <w:p>
            <w:pPr>
              <w:pStyle w:val="Compact"/>
              <w:jc w:val="center"/>
            </w:pPr>
            <w:r>
              <w:t xml:space="preserve">0.26</w:t>
            </w:r>
          </w:p>
        </w:tc>
        <w:tc>
          <w:tcPr/>
          <w:p>
            <w:pPr>
              <w:pStyle w:val="Compact"/>
              <w:jc w:val="center"/>
            </w:pPr>
            <w:r>
              <w:t xml:space="preserve">0.48</w:t>
            </w:r>
          </w:p>
        </w:tc>
        <w:tc>
          <w:tcPr/>
          <w:p>
            <w:pPr>
              <w:pStyle w:val="Compact"/>
              <w:jc w:val="center"/>
            </w:pPr>
            <w:r>
              <w:t xml:space="preserve">0.34</w:t>
            </w:r>
          </w:p>
        </w:tc>
      </w:tr>
    </w:tbl>
    <w:bookmarkEnd w:id="9"/>
    <w:p>
      <w:pPr>
        <w:pStyle w:val="BodyText"/>
      </w:pPr>
      <w:r>
        <w:t xml:space="preserve">The model achieves an F1 score of approximately 0.34, indicating that the model captures some predictive signal from the textual features, but overall performance remains modest. The relatively low precision suggests that the model frequently predicts sensors as relevant when they are not, while the recall value indicates that it identifies roughly half of the correct answers. This pattern is consistent with the class imbalance present in the dataset, where each question contains one correct sensor and multiple incorrect distractors.</w:t>
      </w:r>
    </w:p>
    <w:bookmarkEnd w:id="10"/>
    <w:bookmarkStart w:id="12" w:name="hyperparameter-search"/>
    <w:p>
      <w:pPr>
        <w:pStyle w:val="Heading2"/>
      </w:pPr>
      <w:r>
        <w:t xml:space="preserve">Hyperparameter Search</w:t>
      </w:r>
    </w:p>
    <w:p>
      <w:pPr>
        <w:pStyle w:val="FirstParagraph"/>
      </w:pPr>
      <w:r>
        <w:t xml:space="preserve">To improve performance, we performed a grid search over several TF-IDF and logistic regression hyperparameters, including n-gram range, vocabulary size, minimum document frequency, regularization strength, and class weighting. Table </w:t>
      </w:r>
      <w:hyperlink w:anchor="tab:tfidf_grid">
        <w:r>
          <w:rPr>
            <w:rStyle w:val="Hyperlink"/>
          </w:rPr>
          <w:t xml:space="preserve">2</w:t>
        </w:r>
      </w:hyperlink>
      <w:r>
        <w:t xml:space="preserve"> </w:t>
      </w:r>
      <w:r>
        <w:t xml:space="preserve">shows the top hyperparameter configurations ranked by cross-validated F1 score.</w:t>
      </w:r>
    </w:p>
    <w:bookmarkStart w:id="11" w:name="tab:tfidf_grid"/>
    <w:p>
      <w:pPr>
        <w:pStyle w:val="TableCaption"/>
      </w:pPr>
      <w:r>
        <w:t xml:space="preserve">Top TF-IDF logistic regression hyperparameter configurations ranked by cross-validation F1 score.</w:t>
      </w:r>
    </w:p>
    <w:tbl>
      <w:tblPr>
        <w:tblStyle w:val="Table"/>
        <w:tblW w:type="auto" w:w="0"/>
        <w:tblLook w:firstRow="1" w:lastRow="0" w:firstColumn="0" w:lastColumn="0" w:noHBand="0" w:noVBand="0" w:val="0020"/>
        <w:tblCaption w:val="Top TF-IDF logistic regression hyperparameter configurations ranked by cross-validation F1 score."/>
      </w:tblPr>
      <w:tblGrid>
        <w:gridCol w:w="1131"/>
        <w:gridCol w:w="1131"/>
        <w:gridCol w:w="1131"/>
        <w:gridCol w:w="1131"/>
        <w:gridCol w:w="1131"/>
        <w:gridCol w:w="1131"/>
        <w:gridCol w:w="1131"/>
      </w:tblGrid>
      <w:tr>
        <w:trPr>
          <w:tblHeader w:val="on"/>
        </w:trPr>
        <w:tc>
          <w:tcPr/>
          <w:p>
            <w:pPr>
              <w:pStyle w:val="Compact"/>
              <w:jc w:val="center"/>
            </w:pPr>
            <w:r>
              <w:t xml:space="preserve">Ngram</w:t>
            </w:r>
          </w:p>
        </w:tc>
        <w:tc>
          <w:tcPr/>
          <w:p>
            <w:pPr>
              <w:pStyle w:val="Compact"/>
              <w:jc w:val="center"/>
            </w:pPr>
            <w:r>
              <w:t xml:space="preserve">MaxFeat</w:t>
            </w:r>
          </w:p>
        </w:tc>
        <w:tc>
          <w:tcPr/>
          <w:p>
            <w:pPr>
              <w:pStyle w:val="Compact"/>
              <w:jc w:val="center"/>
            </w:pPr>
            <w:r>
              <w:t xml:space="preserve">MinDF</w:t>
            </w:r>
          </w:p>
        </w:tc>
        <w:tc>
          <w:tcPr/>
          <w:p>
            <w:pPr>
              <w:pStyle w:val="Compact"/>
              <w:jc w:val="center"/>
            </w:pPr>
            <w:r>
              <w:t xml:space="preserve">C</w:t>
            </w:r>
          </w:p>
        </w:tc>
        <w:tc>
          <w:tcPr/>
          <w:p>
            <w:pPr>
              <w:pStyle w:val="Compact"/>
              <w:jc w:val="center"/>
            </w:pPr>
            <w:r>
              <w:t xml:space="preserve">ClassWt</w:t>
            </w:r>
          </w:p>
        </w:tc>
        <w:tc>
          <w:tcPr/>
          <w:p>
            <w:pPr>
              <w:pStyle w:val="Compact"/>
              <w:jc w:val="center"/>
            </w:pPr>
            <w:r>
              <w:t xml:space="preserve">Mean F1</w:t>
            </w:r>
          </w:p>
        </w:tc>
        <w:tc>
          <w:tcPr/>
          <w:p>
            <w:pPr>
              <w:pStyle w:val="Compact"/>
              <w:jc w:val="center"/>
            </w:pPr>
            <w:r>
              <w:t xml:space="preserve">Std</w:t>
            </w:r>
          </w:p>
        </w:tc>
      </w:tr>
      <w:tr>
        <w:tc>
          <w:tcPr/>
          <w:p>
            <w:pPr>
              <w:pStyle w:val="Compact"/>
              <w:jc w:val="center"/>
            </w:pPr>
            <w:r>
              <w:t xml:space="preserve">(1,1)</w:t>
            </w:r>
          </w:p>
        </w:tc>
        <w:tc>
          <w:tcPr/>
          <w:p>
            <w:pPr>
              <w:pStyle w:val="Compact"/>
              <w:jc w:val="center"/>
            </w:pPr>
            <w:r>
              <w:t xml:space="preserve">5000</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3000</w:t>
            </w:r>
          </w:p>
        </w:tc>
        <w:tc>
          <w:tcPr/>
          <w:p>
            <w:pPr>
              <w:pStyle w:val="Compact"/>
              <w:jc w:val="center"/>
            </w:pPr>
            <w:r>
              <w:t xml:space="preserve">2</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3000</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5000</w:t>
            </w:r>
          </w:p>
        </w:tc>
        <w:tc>
          <w:tcPr/>
          <w:p>
            <w:pPr>
              <w:pStyle w:val="Compact"/>
              <w:jc w:val="center"/>
            </w:pPr>
            <w:r>
              <w:t xml:space="preserve">2</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5000</w:t>
            </w:r>
          </w:p>
        </w:tc>
        <w:tc>
          <w:tcPr/>
          <w:p>
            <w:pPr>
              <w:pStyle w:val="Compact"/>
              <w:jc w:val="center"/>
            </w:pPr>
            <w:r>
              <w:t xml:space="preserve">2</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5000</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3000</w:t>
            </w:r>
          </w:p>
        </w:tc>
        <w:tc>
          <w:tcPr/>
          <w:p>
            <w:pPr>
              <w:pStyle w:val="Compact"/>
              <w:jc w:val="center"/>
            </w:pPr>
            <w:r>
              <w:t xml:space="preserve">2</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3000</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0.01</w:t>
            </w:r>
          </w:p>
        </w:tc>
      </w:tr>
      <w:tr>
        <w:tc>
          <w:tcPr/>
          <w:p>
            <w:pPr>
              <w:pStyle w:val="Compact"/>
              <w:jc w:val="center"/>
            </w:pPr>
            <w:r>
              <w:t xml:space="preserve">(1,1)</w:t>
            </w:r>
          </w:p>
        </w:tc>
        <w:tc>
          <w:tcPr/>
          <w:p>
            <w:pPr>
              <w:pStyle w:val="Compact"/>
              <w:jc w:val="center"/>
            </w:pPr>
            <w:r>
              <w:t xml:space="preserve">5000</w:t>
            </w:r>
          </w:p>
        </w:tc>
        <w:tc>
          <w:tcPr/>
          <w:p>
            <w:pPr>
              <w:pStyle w:val="Compact"/>
              <w:jc w:val="center"/>
            </w:pPr>
            <w:r>
              <w:t xml:space="preserve">2</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0.02</w:t>
            </w:r>
          </w:p>
        </w:tc>
      </w:tr>
      <w:tr>
        <w:tc>
          <w:tcPr/>
          <w:p>
            <w:pPr>
              <w:pStyle w:val="Compact"/>
              <w:jc w:val="center"/>
            </w:pPr>
            <w:r>
              <w:t xml:space="preserve">(1,1)</w:t>
            </w:r>
          </w:p>
        </w:tc>
        <w:tc>
          <w:tcPr/>
          <w:p>
            <w:pPr>
              <w:pStyle w:val="Compact"/>
              <w:jc w:val="center"/>
            </w:pPr>
            <w:r>
              <w:t xml:space="preserve">5000</w:t>
            </w:r>
          </w:p>
        </w:tc>
        <w:tc>
          <w:tcPr/>
          <w:p>
            <w:pPr>
              <w:pStyle w:val="Compact"/>
              <w:jc w:val="center"/>
            </w:pPr>
            <w:r>
              <w:t xml:space="preserve">1</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0.02</w:t>
            </w:r>
          </w:p>
        </w:tc>
      </w:tr>
      <w:tr>
        <w:tc>
          <w:tcPr/>
          <w:p>
            <w:pPr>
              <w:pStyle w:val="Compact"/>
              <w:jc w:val="center"/>
            </w:pPr>
            <w:r>
              <w:t xml:space="preserve">(1,1)</w:t>
            </w:r>
          </w:p>
        </w:tc>
        <w:tc>
          <w:tcPr/>
          <w:p>
            <w:pPr>
              <w:pStyle w:val="Compact"/>
              <w:jc w:val="center"/>
            </w:pPr>
            <w:r>
              <w:t xml:space="preserve">3000</w:t>
            </w:r>
          </w:p>
        </w:tc>
        <w:tc>
          <w:tcPr/>
          <w:p>
            <w:pPr>
              <w:pStyle w:val="Compact"/>
              <w:jc w:val="center"/>
            </w:pPr>
            <w:r>
              <w:t xml:space="preserve">1</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0.02</w:t>
            </w:r>
          </w:p>
        </w:tc>
      </w:tr>
      <w:tr>
        <w:tc>
          <w:tcPr/>
          <w:p>
            <w:pPr>
              <w:pStyle w:val="Compact"/>
              <w:jc w:val="center"/>
            </w:pPr>
            <w:r>
              <w:t xml:space="preserve">(1,1)</w:t>
            </w:r>
          </w:p>
        </w:tc>
        <w:tc>
          <w:tcPr/>
          <w:p>
            <w:pPr>
              <w:pStyle w:val="Compact"/>
              <w:jc w:val="center"/>
            </w:pPr>
            <w:r>
              <w:t xml:space="preserve">3000</w:t>
            </w:r>
          </w:p>
        </w:tc>
        <w:tc>
          <w:tcPr/>
          <w:p>
            <w:pPr>
              <w:pStyle w:val="Compact"/>
              <w:jc w:val="center"/>
            </w:pPr>
            <w:r>
              <w:t xml:space="preserve">2</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0.35</w:t>
            </w:r>
          </w:p>
        </w:tc>
        <w:tc>
          <w:tcPr/>
          <w:p>
            <w:pPr>
              <w:pStyle w:val="Compact"/>
              <w:jc w:val="center"/>
            </w:pPr>
            <w:r>
              <w:t xml:space="preserve">0.02</w:t>
            </w:r>
          </w:p>
        </w:tc>
      </w:tr>
      <w:tr>
        <w:tc>
          <w:tcPr/>
          <w:p>
            <w:pPr>
              <w:pStyle w:val="Compact"/>
              <w:jc w:val="center"/>
            </w:pPr>
            <w:r>
              <w:t xml:space="preserve">(1,2)</w:t>
            </w:r>
          </w:p>
        </w:tc>
        <w:tc>
          <w:tcPr/>
          <w:p>
            <w:pPr>
              <w:pStyle w:val="Compact"/>
              <w:jc w:val="center"/>
            </w:pPr>
            <w:r>
              <w:t xml:space="preserve">3000</w:t>
            </w:r>
          </w:p>
        </w:tc>
        <w:tc>
          <w:tcPr/>
          <w:p>
            <w:pPr>
              <w:pStyle w:val="Compact"/>
              <w:jc w:val="center"/>
            </w:pPr>
            <w:r>
              <w:t xml:space="preserve">2</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0.34</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5000</w:t>
            </w:r>
          </w:p>
        </w:tc>
        <w:tc>
          <w:tcPr/>
          <w:p>
            <w:pPr>
              <w:pStyle w:val="Compact"/>
              <w:jc w:val="center"/>
            </w:pPr>
            <w:r>
              <w:t xml:space="preserve">2</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0.34</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3000</w:t>
            </w:r>
          </w:p>
        </w:tc>
        <w:tc>
          <w:tcPr/>
          <w:p>
            <w:pPr>
              <w:pStyle w:val="Compact"/>
              <w:jc w:val="center"/>
            </w:pPr>
            <w:r>
              <w:t xml:space="preserve">1</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0.34</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5000</w:t>
            </w:r>
          </w:p>
        </w:tc>
        <w:tc>
          <w:tcPr/>
          <w:p>
            <w:pPr>
              <w:pStyle w:val="Compact"/>
              <w:jc w:val="center"/>
            </w:pPr>
            <w:r>
              <w:t xml:space="preserve">1</w:t>
            </w:r>
          </w:p>
        </w:tc>
        <w:tc>
          <w:tcPr/>
          <w:p>
            <w:pPr>
              <w:pStyle w:val="Compact"/>
              <w:jc w:val="center"/>
            </w:pPr>
            <w:r>
              <w:t xml:space="preserve">0.10</w:t>
            </w:r>
          </w:p>
        </w:tc>
        <w:tc>
          <w:tcPr/>
          <w:p>
            <w:pPr>
              <w:pStyle w:val="Compact"/>
              <w:jc w:val="center"/>
            </w:pPr>
            <w:r>
              <w:t xml:space="preserve">balanced</w:t>
            </w:r>
          </w:p>
        </w:tc>
        <w:tc>
          <w:tcPr/>
          <w:p>
            <w:pPr>
              <w:pStyle w:val="Compact"/>
              <w:jc w:val="center"/>
            </w:pPr>
            <w:r>
              <w:t xml:space="preserve">0.34</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3000</w:t>
            </w:r>
          </w:p>
        </w:tc>
        <w:tc>
          <w:tcPr/>
          <w:p>
            <w:pPr>
              <w:pStyle w:val="Compact"/>
              <w:jc w:val="center"/>
            </w:pPr>
            <w:r>
              <w:t xml:space="preserve">2</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0.32</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5000</w:t>
            </w:r>
          </w:p>
        </w:tc>
        <w:tc>
          <w:tcPr/>
          <w:p>
            <w:pPr>
              <w:pStyle w:val="Compact"/>
              <w:jc w:val="center"/>
            </w:pPr>
            <w:r>
              <w:t xml:space="preserve">2</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0.32</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3000</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0.32</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5000</w:t>
            </w:r>
          </w:p>
        </w:tc>
        <w:tc>
          <w:tcPr/>
          <w:p>
            <w:pPr>
              <w:pStyle w:val="Compact"/>
              <w:jc w:val="center"/>
            </w:pPr>
            <w:r>
              <w:t xml:space="preserve">1</w:t>
            </w:r>
          </w:p>
        </w:tc>
        <w:tc>
          <w:tcPr/>
          <w:p>
            <w:pPr>
              <w:pStyle w:val="Compact"/>
              <w:jc w:val="center"/>
            </w:pPr>
            <w:r>
              <w:t xml:space="preserve">1.00</w:t>
            </w:r>
          </w:p>
        </w:tc>
        <w:tc>
          <w:tcPr/>
          <w:p>
            <w:pPr>
              <w:pStyle w:val="Compact"/>
              <w:jc w:val="center"/>
            </w:pPr>
            <w:r>
              <w:t xml:space="preserve">balanced</w:t>
            </w:r>
          </w:p>
        </w:tc>
        <w:tc>
          <w:tcPr/>
          <w:p>
            <w:pPr>
              <w:pStyle w:val="Compact"/>
              <w:jc w:val="center"/>
            </w:pPr>
            <w:r>
              <w:t xml:space="preserve">0.32</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3000</w:t>
            </w:r>
          </w:p>
        </w:tc>
        <w:tc>
          <w:tcPr/>
          <w:p>
            <w:pPr>
              <w:pStyle w:val="Compact"/>
              <w:jc w:val="center"/>
            </w:pPr>
            <w:r>
              <w:t xml:space="preserve">2</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0.28</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5000</w:t>
            </w:r>
          </w:p>
        </w:tc>
        <w:tc>
          <w:tcPr/>
          <w:p>
            <w:pPr>
              <w:pStyle w:val="Compact"/>
              <w:jc w:val="center"/>
            </w:pPr>
            <w:r>
              <w:t xml:space="preserve">2</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0.28</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3000</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0.28</w:t>
            </w:r>
          </w:p>
        </w:tc>
        <w:tc>
          <w:tcPr/>
          <w:p>
            <w:pPr>
              <w:pStyle w:val="Compact"/>
              <w:jc w:val="center"/>
            </w:pPr>
            <w:r>
              <w:t xml:space="preserve">0.01</w:t>
            </w:r>
          </w:p>
        </w:tc>
      </w:tr>
      <w:tr>
        <w:tc>
          <w:tcPr/>
          <w:p>
            <w:pPr>
              <w:pStyle w:val="Compact"/>
              <w:jc w:val="center"/>
            </w:pPr>
            <w:r>
              <w:t xml:space="preserve">(1,2)</w:t>
            </w:r>
          </w:p>
        </w:tc>
        <w:tc>
          <w:tcPr/>
          <w:p>
            <w:pPr>
              <w:pStyle w:val="Compact"/>
              <w:jc w:val="center"/>
            </w:pPr>
            <w:r>
              <w:t xml:space="preserve">5000</w:t>
            </w:r>
          </w:p>
        </w:tc>
        <w:tc>
          <w:tcPr/>
          <w:p>
            <w:pPr>
              <w:pStyle w:val="Compact"/>
              <w:jc w:val="center"/>
            </w:pPr>
            <w:r>
              <w:t xml:space="preserve">1</w:t>
            </w:r>
          </w:p>
        </w:tc>
        <w:tc>
          <w:tcPr/>
          <w:p>
            <w:pPr>
              <w:pStyle w:val="Compact"/>
              <w:jc w:val="center"/>
            </w:pPr>
            <w:r>
              <w:t xml:space="preserve">10.00</w:t>
            </w:r>
          </w:p>
        </w:tc>
        <w:tc>
          <w:tcPr/>
          <w:p>
            <w:pPr>
              <w:pStyle w:val="Compact"/>
              <w:jc w:val="center"/>
            </w:pPr>
            <w:r>
              <w:t xml:space="preserve">balanced</w:t>
            </w:r>
          </w:p>
        </w:tc>
        <w:tc>
          <w:tcPr/>
          <w:p>
            <w:pPr>
              <w:pStyle w:val="Compact"/>
              <w:jc w:val="center"/>
            </w:pPr>
            <w:r>
              <w:t xml:space="preserve">0.28</w:t>
            </w:r>
          </w:p>
        </w:tc>
        <w:tc>
          <w:tcPr/>
          <w:p>
            <w:pPr>
              <w:pStyle w:val="Compact"/>
              <w:jc w:val="center"/>
            </w:pPr>
            <w:r>
              <w:t xml:space="preserve">0.01</w:t>
            </w:r>
          </w:p>
        </w:tc>
      </w:tr>
    </w:tbl>
    <w:bookmarkEnd w:id="11"/>
    <w:p>
      <w:pPr>
        <w:pStyle w:val="BodyText"/>
      </w:pPr>
      <w:r>
        <w:t xml:space="preserve">The best-performing configurations consistently used class balancing, reflecting the dataset’s inherent imbalance. Unigram features slightly outperformed bigram features, suggesting that most predictive information is contained in individual technical terms such as vibration, voltage, or temperature. However, even with hyperparameter tuning, TF-IDF performance remains modest, indicating that simple lexical features alone may not fully capture the relationships between assets, failure conditions, and relevant sensors.</w:t>
      </w:r>
    </w:p>
    <w:bookmarkEnd w:id="12"/>
    <w:bookmarkEnd w:id="13"/>
    <w:bookmarkStart w:id="20" w:name="Xc886c49f8ffc4e02fede555d5f9c68f720948c4"/>
    <w:p>
      <w:pPr>
        <w:pStyle w:val="Heading1"/>
      </w:pPr>
      <w:r>
        <w:t xml:space="preserve">Transformer-Based Modeling with DistilBERT</w:t>
      </w:r>
    </w:p>
    <w:p>
      <w:pPr>
        <w:pStyle w:val="FirstParagraph"/>
      </w:pPr>
      <w:r>
        <w:t xml:space="preserve">While the TF-IDF baseline captures lexical patterns, many questions require reasoning about relationships between assets, failure conditions, and diagnostic sensors. For example, recognizing that cavitation in pumps produces characteristic vibration signatures requires contextual understanding beyond simple keyword matching.</w:t>
      </w:r>
    </w:p>
    <w:p>
      <w:pPr>
        <w:pStyle w:val="BodyText"/>
      </w:pPr>
      <w:r>
        <w:t xml:space="preserve">To address these limitations, we implemented a transformer-based model using DistilBERT (</w:t>
      </w:r>
      <w:r>
        <w:rPr>
          <w:rStyle w:val="VerbatimChar"/>
        </w:rPr>
        <w:t xml:space="preserve">distilbert-base-uncased</w:t>
      </w:r>
      <w:r>
        <w:t xml:space="preserve">). DistilBERT is a compressed version of BERT that retains much of its contextual language understanding while requiring fewer parameters and less computational overhead. This makes it suitable for experimentation in CPU-only environments.</w:t>
      </w:r>
    </w:p>
    <w:p>
      <w:pPr>
        <w:pStyle w:val="BodyText"/>
      </w:pPr>
      <w:r>
        <w:t xml:space="preserve">Two DistilBERT models were trained. The first model addresses the single-answer task in which exactly one sensor must be selected from several candidate options. The second model addresses the multi-answer task where multiple sensors may be relevant.</w:t>
      </w:r>
    </w:p>
    <w:p>
      <w:pPr>
        <w:pStyle w:val="BodyText"/>
      </w:pPr>
      <w:r>
        <w:t xml:space="preserve">Initially, training metrics suggested strong model performance. However, these metrics were computed on the training dataset and therefore likely represent optimistic estimates. To obtain a more reliable evaluation, we introduced an 80/20 hold-out split and recomputed all metrics on unseen test data.</w:t>
      </w:r>
    </w:p>
    <w:bookmarkStart w:id="15" w:name="distilbert-selection-model"/>
    <w:p>
      <w:pPr>
        <w:pStyle w:val="Heading2"/>
      </w:pPr>
      <w:r>
        <w:t xml:space="preserve">DistilBERT Selection Model</w:t>
      </w:r>
    </w:p>
    <w:p>
      <w:pPr>
        <w:pStyle w:val="FirstParagraph"/>
      </w:pPr>
      <w:r>
        <w:t xml:space="preserve">The selection model chooses the correct sensor from five candidate options. Performance on the held-out test set is shown in Table </w:t>
      </w:r>
      <w:hyperlink w:anchor="tab:distilbert_selection_results">
        <w:r>
          <w:rPr>
            <w:rStyle w:val="Hyperlink"/>
          </w:rPr>
          <w:t xml:space="preserve">3</w:t>
        </w:r>
      </w:hyperlink>
      <w:r>
        <w:t xml:space="preserve">.</w:t>
      </w:r>
    </w:p>
    <w:bookmarkStart w:id="14" w:name="tab:distilbert_selection_results"/>
    <w:p>
      <w:pPr>
        <w:pStyle w:val="TableCaption"/>
      </w:pPr>
      <w:r>
        <w:t xml:space="preserve">Test set performance for the DistilBERT selection model.</w:t>
      </w:r>
    </w:p>
    <w:tbl>
      <w:tblPr>
        <w:tblStyle w:val="Table"/>
        <w:tblW w:type="auto" w:w="0"/>
        <w:tblLook w:firstRow="1" w:lastRow="0" w:firstColumn="0" w:lastColumn="0" w:noHBand="0" w:noVBand="0" w:val="0020"/>
        <w:tblCaption w:val="Test set performance for the DistilBERT selection model."/>
      </w:tblPr>
      <w:tblGrid>
        <w:gridCol w:w="1584"/>
        <w:gridCol w:w="1584"/>
        <w:gridCol w:w="1584"/>
        <w:gridCol w:w="1584"/>
        <w:gridCol w:w="1584"/>
      </w:tblGrid>
      <w:tr>
        <w:trPr>
          <w:tblHeader w:val="on"/>
        </w:trPr>
        <w:tc>
          <w:tcPr/>
          <w:p>
            <w:pPr>
              <w:pStyle w:val="Compact"/>
              <w:jc w:val="center"/>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 Score</w:t>
            </w:r>
          </w:p>
        </w:tc>
      </w:tr>
      <w:tr>
        <w:tc>
          <w:tcPr/>
          <w:p>
            <w:pPr>
              <w:pStyle w:val="Compact"/>
              <w:jc w:val="center"/>
            </w:pPr>
            <w:r>
              <w:t xml:space="preserve">DistilBERT Selection</w:t>
            </w:r>
          </w:p>
        </w:tc>
        <w:tc>
          <w:tcPr/>
          <w:p>
            <w:pPr>
              <w:pStyle w:val="Compact"/>
              <w:jc w:val="center"/>
            </w:pPr>
            <w:r>
              <w:t xml:space="preserve">0.339</w:t>
            </w:r>
          </w:p>
        </w:tc>
        <w:tc>
          <w:tcPr/>
          <w:p>
            <w:pPr>
              <w:pStyle w:val="Compact"/>
              <w:jc w:val="center"/>
            </w:pPr>
            <w:r>
              <w:t xml:space="preserve">0.330</w:t>
            </w:r>
          </w:p>
        </w:tc>
        <w:tc>
          <w:tcPr/>
          <w:p>
            <w:pPr>
              <w:pStyle w:val="Compact"/>
              <w:jc w:val="center"/>
            </w:pPr>
            <w:r>
              <w:t xml:space="preserve">0.339</w:t>
            </w:r>
          </w:p>
        </w:tc>
        <w:tc>
          <w:tcPr/>
          <w:p>
            <w:pPr>
              <w:pStyle w:val="Compact"/>
              <w:jc w:val="center"/>
            </w:pPr>
            <w:r>
              <w:t xml:space="preserve">0.334</w:t>
            </w:r>
          </w:p>
        </w:tc>
      </w:tr>
    </w:tbl>
    <w:bookmarkEnd w:id="14"/>
    <w:p>
      <w:pPr>
        <w:pStyle w:val="BodyText"/>
      </w:pPr>
      <w:r>
        <w:t xml:space="preserve">Because each question contains five candidate sensors, random guessing would yield an accuracy of approximately 20%. The model therefore performs substantially better than random guessing, suggesting that it has learned meaningful relationships within the dataset. However, the improvement over the TF-IDF baseline is modest, indicating that contextual language representations alone may not fully capture the reasoning required for sensor selection.</w:t>
      </w:r>
    </w:p>
    <w:bookmarkEnd w:id="15"/>
    <w:bookmarkStart w:id="17" w:name="distilbert-verification-model"/>
    <w:p>
      <w:pPr>
        <w:pStyle w:val="Heading2"/>
      </w:pPr>
      <w:r>
        <w:t xml:space="preserve">DistilBERT Verification Model</w:t>
      </w:r>
    </w:p>
    <w:p>
      <w:pPr>
        <w:pStyle w:val="FirstParagraph"/>
      </w:pPr>
      <w:r>
        <w:t xml:space="preserve">The verification model evaluates each candidate sensor independently and predicts whether it is relevant. Performance on the held-out test set is shown in Table </w:t>
      </w:r>
      <w:hyperlink w:anchor="tab:distilbert_verification_results">
        <w:r>
          <w:rPr>
            <w:rStyle w:val="Hyperlink"/>
          </w:rPr>
          <w:t xml:space="preserve">4</w:t>
        </w:r>
      </w:hyperlink>
      <w:r>
        <w:t xml:space="preserve">.</w:t>
      </w:r>
    </w:p>
    <w:bookmarkStart w:id="16" w:name="tab:distilbert_verification_results"/>
    <w:p>
      <w:pPr>
        <w:pStyle w:val="TableCaption"/>
      </w:pPr>
      <w:r>
        <w:t xml:space="preserve">Test set performance for the DistilBERT verification model.</w:t>
      </w:r>
    </w:p>
    <w:tbl>
      <w:tblPr>
        <w:tblStyle w:val="Table"/>
        <w:tblW w:type="auto" w:w="0"/>
        <w:tblLook w:firstRow="1" w:lastRow="0" w:firstColumn="0" w:lastColumn="0" w:noHBand="0" w:noVBand="0" w:val="0020"/>
        <w:tblCaption w:val="Test set performance for the DistilBERT verification model."/>
      </w:tblPr>
      <w:tblGrid>
        <w:gridCol w:w="1584"/>
        <w:gridCol w:w="1584"/>
        <w:gridCol w:w="1584"/>
        <w:gridCol w:w="1584"/>
        <w:gridCol w:w="1584"/>
      </w:tblGrid>
      <w:tr>
        <w:trPr>
          <w:tblHeader w:val="on"/>
        </w:trPr>
        <w:tc>
          <w:tcPr/>
          <w:p>
            <w:pPr>
              <w:pStyle w:val="Compact"/>
              <w:jc w:val="center"/>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 Score</w:t>
            </w:r>
          </w:p>
        </w:tc>
      </w:tr>
      <w:tr>
        <w:tc>
          <w:tcPr/>
          <w:p>
            <w:pPr>
              <w:pStyle w:val="Compact"/>
              <w:jc w:val="center"/>
            </w:pPr>
            <w:r>
              <w:t xml:space="preserve">DistilBERT Verification</w:t>
            </w:r>
          </w:p>
        </w:tc>
        <w:tc>
          <w:tcPr/>
          <w:p>
            <w:pPr>
              <w:pStyle w:val="Compact"/>
              <w:jc w:val="center"/>
            </w:pPr>
            <w:r>
              <w:t xml:space="preserve">0.600</w:t>
            </w:r>
          </w:p>
        </w:tc>
        <w:tc>
          <w:tcPr/>
          <w:p>
            <w:pPr>
              <w:pStyle w:val="Compact"/>
              <w:jc w:val="center"/>
            </w:pPr>
            <w:r>
              <w:t xml:space="preserve">1.000</w:t>
            </w:r>
          </w:p>
        </w:tc>
        <w:tc>
          <w:tcPr/>
          <w:p>
            <w:pPr>
              <w:pStyle w:val="Compact"/>
              <w:jc w:val="center"/>
            </w:pPr>
            <w:r>
              <w:t xml:space="preserve">0.001</w:t>
            </w:r>
          </w:p>
        </w:tc>
        <w:tc>
          <w:tcPr/>
          <w:p>
            <w:pPr>
              <w:pStyle w:val="Compact"/>
              <w:jc w:val="center"/>
            </w:pPr>
            <w:r>
              <w:t xml:space="preserve">0.002</w:t>
            </w:r>
          </w:p>
        </w:tc>
      </w:tr>
    </w:tbl>
    <w:bookmarkEnd w:id="16"/>
    <w:p>
      <w:pPr>
        <w:pStyle w:val="BodyText"/>
      </w:pPr>
      <w:r>
        <w:t xml:space="preserve">Although the model achieves 60% accuracy, recall for the relevant class is nearly zero. This indicates that the model rarely predicts sensors as relevant and instead defaults to predicting the majority class. This behavior likely arises from class imbalance within the dataset, where irrelevant sensors significantly outnumber relevant ones.</w:t>
      </w:r>
    </w:p>
    <w:bookmarkEnd w:id="17"/>
    <w:bookmarkStart w:id="19" w:name="model-comparison"/>
    <w:p>
      <w:pPr>
        <w:pStyle w:val="Heading2"/>
      </w:pPr>
      <w:r>
        <w:t xml:space="preserve">Model Comparison</w:t>
      </w:r>
    </w:p>
    <w:p>
      <w:pPr>
        <w:pStyle w:val="FirstParagraph"/>
      </w:pPr>
      <w:r>
        <w:t xml:space="preserve">Table </w:t>
      </w:r>
      <w:hyperlink w:anchor="tab:model_comparison">
        <w:r>
          <w:rPr>
            <w:rStyle w:val="Hyperlink"/>
          </w:rPr>
          <w:t xml:space="preserve">5</w:t>
        </w:r>
      </w:hyperlink>
      <w:r>
        <w:t xml:space="preserve"> </w:t>
      </w:r>
      <w:r>
        <w:t xml:space="preserve">summarizes performance across all approaches.</w:t>
      </w:r>
    </w:p>
    <w:bookmarkStart w:id="18" w:name="tab:model_comparison"/>
    <w:p>
      <w:pPr>
        <w:pStyle w:val="TableCaption"/>
      </w:pPr>
      <w:r>
        <w:t xml:space="preserve">Comparison of baseline and transformer models on the held-out test set.</w:t>
      </w:r>
    </w:p>
    <w:tbl>
      <w:tblPr>
        <w:tblStyle w:val="Table"/>
        <w:tblW w:type="auto" w:w="0"/>
        <w:tblLook w:firstRow="1" w:lastRow="0" w:firstColumn="0" w:lastColumn="0" w:noHBand="0" w:noVBand="0" w:val="0020"/>
        <w:tblCaption w:val="Comparison of baseline and transformer models on the held-out test set."/>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 Score</w:t>
            </w:r>
          </w:p>
        </w:tc>
      </w:tr>
      <w:tr>
        <w:tc>
          <w:tcPr/>
          <w:p>
            <w:pPr>
              <w:pStyle w:val="Compact"/>
              <w:jc w:val="left"/>
            </w:pPr>
            <w:r>
              <w:t xml:space="preserve">TF-IDF + Logistic Regression</w:t>
            </w:r>
          </w:p>
        </w:tc>
        <w:tc>
          <w:tcPr/>
          <w:p>
            <w:pPr>
              <w:pStyle w:val="Compact"/>
              <w:jc w:val="center"/>
            </w:pPr>
            <w:r>
              <w:t xml:space="preserve">0.54</w:t>
            </w:r>
          </w:p>
        </w:tc>
        <w:tc>
          <w:tcPr/>
          <w:p>
            <w:pPr>
              <w:pStyle w:val="Compact"/>
              <w:jc w:val="center"/>
            </w:pPr>
            <w:r>
              <w:t xml:space="preserve">0.26</w:t>
            </w:r>
          </w:p>
        </w:tc>
        <w:tc>
          <w:tcPr/>
          <w:p>
            <w:pPr>
              <w:pStyle w:val="Compact"/>
              <w:jc w:val="center"/>
            </w:pPr>
            <w:r>
              <w:t xml:space="preserve">0.48</w:t>
            </w:r>
          </w:p>
        </w:tc>
        <w:tc>
          <w:tcPr/>
          <w:p>
            <w:pPr>
              <w:pStyle w:val="Compact"/>
              <w:jc w:val="center"/>
            </w:pPr>
            <w:r>
              <w:t xml:space="preserve">0.34</w:t>
            </w:r>
          </w:p>
        </w:tc>
      </w:tr>
      <w:tr>
        <w:tc>
          <w:tcPr/>
          <w:p>
            <w:pPr>
              <w:pStyle w:val="Compact"/>
              <w:jc w:val="left"/>
            </w:pPr>
            <w:r>
              <w:t xml:space="preserve">DistilBERT Selection (Test)</w:t>
            </w:r>
          </w:p>
        </w:tc>
        <w:tc>
          <w:tcPr/>
          <w:p>
            <w:pPr>
              <w:pStyle w:val="Compact"/>
              <w:jc w:val="center"/>
            </w:pPr>
            <w:r>
              <w:t xml:space="preserve">0.34</w:t>
            </w:r>
          </w:p>
        </w:tc>
        <w:tc>
          <w:tcPr/>
          <w:p>
            <w:pPr>
              <w:pStyle w:val="Compact"/>
              <w:jc w:val="center"/>
            </w:pPr>
            <w:r>
              <w:t xml:space="preserve">0.33</w:t>
            </w:r>
          </w:p>
        </w:tc>
        <w:tc>
          <w:tcPr/>
          <w:p>
            <w:pPr>
              <w:pStyle w:val="Compact"/>
              <w:jc w:val="center"/>
            </w:pPr>
            <w:r>
              <w:t xml:space="preserve">0.34</w:t>
            </w:r>
          </w:p>
        </w:tc>
        <w:tc>
          <w:tcPr/>
          <w:p>
            <w:pPr>
              <w:pStyle w:val="Compact"/>
              <w:jc w:val="center"/>
            </w:pPr>
            <w:r>
              <w:t xml:space="preserve">0.33</w:t>
            </w:r>
          </w:p>
        </w:tc>
      </w:tr>
      <w:tr>
        <w:tc>
          <w:tcPr/>
          <w:p>
            <w:pPr>
              <w:pStyle w:val="Compact"/>
              <w:jc w:val="left"/>
            </w:pPr>
            <w:r>
              <w:t xml:space="preserve">DistilBERT Verification (Test)</w:t>
            </w:r>
          </w:p>
        </w:tc>
        <w:tc>
          <w:tcPr/>
          <w:p>
            <w:pPr>
              <w:pStyle w:val="Compact"/>
              <w:jc w:val="center"/>
            </w:pPr>
            <w:r>
              <w:t xml:space="preserve">0.60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r>
    </w:tbl>
    <w:bookmarkEnd w:id="18"/>
    <w:bookmarkEnd w:id="19"/>
    <w:bookmarkEnd w:id="20"/>
    <w:bookmarkStart w:id="21" w:name="research-insights-and-future-directions"/>
    <w:p>
      <w:pPr>
        <w:pStyle w:val="Heading1"/>
      </w:pPr>
      <w:r>
        <w:t xml:space="preserve">Research Insights and Future Directions</w:t>
      </w:r>
    </w:p>
    <w:p>
      <w:pPr>
        <w:pStyle w:val="FirstParagraph"/>
      </w:pPr>
      <w:r>
        <w:t xml:space="preserve">The experiments conducted in this study highlight several important insights about modeling industrial sensor selection tasks using natural language processing methods. First, the TF-IDF baseline performed competitively with the transformer-based model on the held-out test set. This suggests that much of the predictive signal within the dataset may be captured through lexical features alone. Many sensor types correspond to specific domain keywords such as</w:t>
      </w:r>
      <w:r>
        <w:t xml:space="preserve"> </w:t>
      </w:r>
      <w:r>
        <w:t xml:space="preserve">“vibration”</w:t>
      </w:r>
      <w:r>
        <w:t xml:space="preserve">,</w:t>
      </w:r>
      <w:r>
        <w:t xml:space="preserve"> </w:t>
      </w:r>
      <w:r>
        <w:t xml:space="preserve">“temperature”</w:t>
      </w:r>
      <w:r>
        <w:t xml:space="preserve">, or</w:t>
      </w:r>
      <w:r>
        <w:t xml:space="preserve"> </w:t>
      </w:r>
      <w:r>
        <w:t xml:space="preserve">“pressure”</w:t>
      </w:r>
      <w:r>
        <w:t xml:space="preserve">, allowing relatively simple models to identify useful patterns without requiring complex contextual representations.</w:t>
      </w:r>
    </w:p>
    <w:p>
      <w:pPr>
        <w:pStyle w:val="BodyText"/>
      </w:pPr>
      <w:r>
        <w:t xml:space="preserve">Second, the DistilBERT selection model demonstrates that transformer architectures can learn meaningful relationships between asset descriptions, failure modes, and candidate sensors. Although the improvement over the TF-IDF baseline was modest on the held-out test set, the model clearly performed better than random guessing. This indicates that contextual representations do capture some aspects of the underlying diagnostic relationships present in the dataset.</w:t>
      </w:r>
    </w:p>
    <w:p>
      <w:pPr>
        <w:pStyle w:val="BodyText"/>
      </w:pPr>
      <w:r>
        <w:t xml:space="preserve">The verification model results highlight an additional challenge: class imbalance. Because the dataset contains substantially more irrelevant sensors than relevant ones, the model tends to default to predicting the majority class. This behavior illustrates a common issue in machine learning evaluation where high accuracy can be misleading when the positive class is relatively rare. Addressing this imbalance through techniques such as class weighting, balanced sampling, or alternative loss functions may significantly improve performance in future experiments.</w:t>
      </w:r>
    </w:p>
    <w:p>
      <w:pPr>
        <w:pStyle w:val="BodyText"/>
      </w:pPr>
      <w:r>
        <w:t xml:space="preserve">These findings suggest several potential directions for further research. One promising direction would be incorporating domain-specific knowledge into the modeling process. For example, structured information about sensor types, asset categories, or known diagnostic relationships could be integrated into the input representation. Combining textual reasoning with structured industrial knowledge may allow models to better capture the physical relationships underlying many failure detection tasks.</w:t>
      </w:r>
    </w:p>
    <w:p>
      <w:pPr>
        <w:pStyle w:val="BodyText"/>
      </w:pPr>
      <w:r>
        <w:t xml:space="preserve">Another potential direction for publication involves exploring hybrid approaches that combine lexical feature models with contextual transformers. Because TF-IDF features already capture strong keyword signals, integrating them with transformer embeddings may yield models that benefit from both lexical specificity and contextual reasoning.</w:t>
      </w:r>
    </w:p>
    <w:p>
      <w:pPr>
        <w:pStyle w:val="BodyText"/>
      </w:pPr>
      <w:r>
        <w:t xml:space="preserve">Finally, the modeling framework developed in this work could be extended to additional industrial datasets. The same approach could be applied to a third dataset involving asset maintenance records, sensor logs, or fault reports. In such settings, models trained to identify relationships between failures and diagnostic sensors could assist engineers in recommending appropriate monitoring strategies or identifying sensors most relevant for detecting specific failure modes. Extending the model to additional datasets would provide an opportunity to evaluate whether the patterns observed in this study generalize across different industrial domains.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Update</dc:title>
  <dc:creator>Jordan Gewing-Mullins &amp; Matthew Jarvis</dc:creator>
  <cp:keywords/>
  <dcterms:created xsi:type="dcterms:W3CDTF">2026-03-14T01:45:06Z</dcterms:created>
  <dcterms:modified xsi:type="dcterms:W3CDTF">2026-03-14T01:45:06Z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13, 2026</vt:lpwstr>
  </property>
</Properties>
</file>