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Feb 20 Update</w:t>
      </w:r>
    </w:p>
    <w:p>
      <w:pPr>
        <w:pStyle w:val="Author"/>
      </w:pPr>
      <w:r>
        <w:t xml:space="preserve">Team 3</w:t>
      </w:r>
    </w:p>
    <w:p>
      <w:pPr>
        <w:pStyle w:val="Date"/>
      </w:pPr>
      <w:r>
        <w:t xml:space="preserve">February 2026</w:t>
      </w:r>
    </w:p>
    <w:bookmarkStart w:id="14" w:name="introduction"/>
    <w:p>
      <w:pPr>
        <w:pStyle w:val="Heading1"/>
      </w:pPr>
      <w:r>
        <w:t xml:space="preserve">Introduction</w:t>
      </w:r>
    </w:p>
    <w:p>
      <w:pPr>
        <w:pStyle w:val="FirstParagraph"/>
      </w:pPr>
      <w:r>
        <w:t xml:space="preserve">Last week, we developed and submitted models focused on predicting accident injury severity using structured event data. However, after reviewing our assigned readings and reflecting on the broader objectives of the GraphFault Event Sequence Analysis theme, we recognized that severity prediction was somewhat tangential to the primary focus on event relationships, temporal structure, and sequence modeling. In response, we are pivoting our modeling approach to better align with the literature by emphasizing event sequence prediction and temporal dependency modeling, specifically through architectures designed to capture relationships between successive occurrence codes.</w:t>
      </w:r>
    </w:p>
    <w:bookmarkStart w:id="10" w:name="lstm-hyperparameter-tuning"/>
    <w:p>
      <w:pPr>
        <w:pStyle w:val="Heading2"/>
      </w:pPr>
      <w:r>
        <w:t xml:space="preserve">LSTM Hyperparameter Tuning</w:t>
      </w:r>
    </w:p>
    <w:p>
      <w:pPr>
        <w:pStyle w:val="FirstParagraph"/>
      </w:pPr>
      <w:r>
        <w:t xml:space="preserve">After pivoting back to event-sequence modeling, we selected an LSTM-based architecture as our initial modeling framework. LSTMs are well-suited for sequential data because they capture temporal dependencies and conditional transitions between events. Since aviation accident data naturally occur as ordered event sequences, an LSTM provides a principled starting point for modeling how one occurrence code leads to the next.</w:t>
      </w:r>
    </w:p>
    <w:p>
      <w:pPr>
        <w:pStyle w:val="BodyText"/>
      </w:pPr>
      <w:r>
        <w:t xml:space="preserve">We conducted a small grid search to explore the impact of key architectural hyperparameters. Specifically, we varied the embedding dimension (32 vs. 64), the number of LSTM units (64 vs. 128), and the dropout rate (0.2 vs. 0.4). These parameters control representational capacity, temporal modeling strength, and regularization, respectively. Each configuration was evaluated using held-out test accuracy and top-3 accuracy across 1,515 possible occurrence codes.</w:t>
      </w:r>
    </w:p>
    <w:p>
      <w:pPr>
        <w:pStyle w:val="BodyText"/>
      </w:pPr>
      <w:r>
        <w:t xml:space="preserve">To contextualize performance, we computed a baseline accuracy by always predicting the most frequent occurrence code. This baseline was 13.29%. Our best-performing LSTM configuration achieved 29.48% test accuracy and 48.57% top-3 accuracy, more than doubling the naive baseline. Given the high cardinality of the output space and strong class imbalance, this improvement suggests that the model is learning meaningful temporal structure rather than simply overpredicting dominant classes.</w:t>
      </w:r>
    </w:p>
    <w:p>
      <w:pPr>
        <w:pStyle w:val="BodyText"/>
      </w:pPr>
      <w:r>
        <w:t xml:space="preserve">Results from the hyperparameter search are shown in Table </w:t>
      </w:r>
      <w:hyperlink w:anchor="tab:lstm_grid">
        <w:r>
          <w:rPr>
            <w:rStyle w:val="Hyperlink"/>
          </w:rPr>
          <w:t xml:space="preserve">1</w:t>
        </w:r>
      </w:hyperlink>
      <w:r>
        <w:t xml:space="preserve">.</w:t>
      </w:r>
    </w:p>
    <w:bookmarkStart w:id="9" w:name="tab:lstm_grid"/>
    <w:p>
      <w:pPr>
        <w:pStyle w:val="TableCaption"/>
      </w:pPr>
      <w:r>
        <w:t xml:space="preserve">LSTM Hyperparameter Grid Search Results</w:t>
      </w:r>
    </w:p>
    <w:tbl>
      <w:tblPr>
        <w:tblStyle w:val="Table"/>
        <w:tblW w:type="auto" w:w="0"/>
        <w:tblLook w:firstRow="1" w:lastRow="0" w:firstColumn="0" w:lastColumn="0" w:noHBand="0" w:noVBand="0" w:val="0020"/>
        <w:tblCaption w:val="LSTM Hyperparameter Grid Search Results"/>
      </w:tblPr>
      <w:tblGrid>
        <w:gridCol w:w="1320"/>
        <w:gridCol w:w="1320"/>
        <w:gridCol w:w="1320"/>
        <w:gridCol w:w="1320"/>
        <w:gridCol w:w="1320"/>
        <w:gridCol w:w="1320"/>
      </w:tblGrid>
      <w:tr>
        <w:trPr>
          <w:tblHeader w:val="on"/>
        </w:trPr>
        <w:tc>
          <w:tcPr/>
          <w:p>
            <w:pPr>
              <w:pStyle w:val="Compact"/>
              <w:jc w:val="center"/>
            </w:pPr>
            <w:r>
              <w:t xml:space="preserve">Embedding Dim</w:t>
            </w:r>
          </w:p>
        </w:tc>
        <w:tc>
          <w:tcPr/>
          <w:p>
            <w:pPr>
              <w:pStyle w:val="Compact"/>
              <w:jc w:val="center"/>
            </w:pPr>
            <w:r>
              <w:t xml:space="preserve">LSTM Units</w:t>
            </w:r>
          </w:p>
        </w:tc>
        <w:tc>
          <w:tcPr/>
          <w:p>
            <w:pPr>
              <w:pStyle w:val="Compact"/>
              <w:jc w:val="center"/>
            </w:pPr>
            <w:r>
              <w:t xml:space="preserve">Dropout</w:t>
            </w:r>
          </w:p>
        </w:tc>
        <w:tc>
          <w:tcPr/>
          <w:p>
            <w:pPr>
              <w:pStyle w:val="Compact"/>
              <w:jc w:val="center"/>
            </w:pPr>
            <w:r>
              <w:t xml:space="preserve">Test Accuracy</w:t>
            </w:r>
          </w:p>
        </w:tc>
        <w:tc>
          <w:tcPr/>
          <w:p>
            <w:pPr>
              <w:pStyle w:val="Compact"/>
              <w:jc w:val="center"/>
            </w:pPr>
            <w:r>
              <w:t xml:space="preserve">Top-3 Accuracy</w:t>
            </w:r>
          </w:p>
        </w:tc>
        <w:tc>
          <w:tcPr/>
          <w:p>
            <w:pPr>
              <w:pStyle w:val="Compact"/>
            </w:pPr>
          </w:p>
        </w:tc>
      </w:tr>
      <w:tr>
        <w:tc>
          <w:tcPr/>
          <w:p>
            <w:pPr>
              <w:pStyle w:val="Compact"/>
              <w:jc w:val="center"/>
            </w:pPr>
            <w:r>
              <w:t xml:space="preserve">64</w:t>
            </w:r>
          </w:p>
        </w:tc>
        <w:tc>
          <w:tcPr/>
          <w:p>
            <w:pPr>
              <w:pStyle w:val="Compact"/>
              <w:jc w:val="center"/>
            </w:pPr>
            <w:r>
              <w:t xml:space="preserve">128</w:t>
            </w:r>
          </w:p>
        </w:tc>
        <w:tc>
          <w:tcPr/>
          <w:p>
            <w:pPr>
              <w:pStyle w:val="Compact"/>
              <w:jc w:val="center"/>
            </w:pPr>
            <w:r>
              <w:t xml:space="preserve">0.2</w:t>
            </w:r>
          </w:p>
        </w:tc>
        <w:tc>
          <w:tcPr/>
          <w:p>
            <w:pPr>
              <w:pStyle w:val="Compact"/>
              <w:jc w:val="center"/>
            </w:pPr>
            <w:r>
              <w:t xml:space="preserve">0.2948</w:t>
            </w:r>
          </w:p>
        </w:tc>
        <w:tc>
          <w:tcPr/>
          <w:p>
            <w:pPr>
              <w:pStyle w:val="Compact"/>
              <w:jc w:val="center"/>
            </w:pPr>
            <w:r>
              <w:t xml:space="preserve">0.4857</w:t>
            </w:r>
          </w:p>
        </w:tc>
        <w:tc>
          <w:tcPr/>
          <w:p>
            <w:pPr>
              <w:pStyle w:val="Compact"/>
            </w:pPr>
          </w:p>
        </w:tc>
      </w:tr>
      <w:tr>
        <w:tc>
          <w:tcPr/>
          <w:p>
            <w:pPr>
              <w:pStyle w:val="Compact"/>
              <w:jc w:val="center"/>
            </w:pPr>
            <w:r>
              <w:t xml:space="preserve">32</w:t>
            </w:r>
          </w:p>
        </w:tc>
        <w:tc>
          <w:tcPr/>
          <w:p>
            <w:pPr>
              <w:pStyle w:val="Compact"/>
              <w:jc w:val="center"/>
            </w:pPr>
            <w:r>
              <w:t xml:space="preserve">128</w:t>
            </w:r>
          </w:p>
        </w:tc>
        <w:tc>
          <w:tcPr/>
          <w:p>
            <w:pPr>
              <w:pStyle w:val="Compact"/>
              <w:jc w:val="center"/>
            </w:pPr>
            <w:r>
              <w:t xml:space="preserve">0.2</w:t>
            </w:r>
          </w:p>
        </w:tc>
        <w:tc>
          <w:tcPr/>
          <w:p>
            <w:pPr>
              <w:pStyle w:val="Compact"/>
              <w:jc w:val="center"/>
            </w:pPr>
            <w:r>
              <w:t xml:space="preserve">0.2923</w:t>
            </w:r>
          </w:p>
        </w:tc>
        <w:tc>
          <w:tcPr/>
          <w:p>
            <w:pPr>
              <w:pStyle w:val="Compact"/>
              <w:jc w:val="center"/>
            </w:pPr>
            <w:r>
              <w:t xml:space="preserve">0.4721</w:t>
            </w:r>
          </w:p>
        </w:tc>
        <w:tc>
          <w:tcPr/>
          <w:p>
            <w:pPr>
              <w:pStyle w:val="Compact"/>
            </w:pPr>
          </w:p>
        </w:tc>
      </w:tr>
      <w:tr>
        <w:tc>
          <w:tcPr/>
          <w:p>
            <w:pPr>
              <w:pStyle w:val="Compact"/>
              <w:jc w:val="center"/>
            </w:pPr>
            <w:r>
              <w:t xml:space="preserve">64</w:t>
            </w:r>
          </w:p>
        </w:tc>
        <w:tc>
          <w:tcPr/>
          <w:p>
            <w:pPr>
              <w:pStyle w:val="Compact"/>
              <w:jc w:val="center"/>
            </w:pPr>
            <w:r>
              <w:t xml:space="preserve">128</w:t>
            </w:r>
          </w:p>
        </w:tc>
        <w:tc>
          <w:tcPr/>
          <w:p>
            <w:pPr>
              <w:pStyle w:val="Compact"/>
              <w:jc w:val="center"/>
            </w:pPr>
            <w:r>
              <w:t xml:space="preserve">0.4</w:t>
            </w:r>
          </w:p>
        </w:tc>
        <w:tc>
          <w:tcPr/>
          <w:p>
            <w:pPr>
              <w:pStyle w:val="Compact"/>
              <w:jc w:val="center"/>
            </w:pPr>
            <w:r>
              <w:t xml:space="preserve">0.2828</w:t>
            </w:r>
          </w:p>
        </w:tc>
        <w:tc>
          <w:tcPr/>
          <w:p>
            <w:pPr>
              <w:pStyle w:val="Compact"/>
              <w:jc w:val="center"/>
            </w:pPr>
            <w:r>
              <w:t xml:space="preserve">0.4817</w:t>
            </w:r>
          </w:p>
        </w:tc>
        <w:tc>
          <w:tcPr/>
          <w:p>
            <w:pPr>
              <w:pStyle w:val="Compact"/>
            </w:pPr>
          </w:p>
        </w:tc>
      </w:tr>
      <w:tr>
        <w:tc>
          <w:tcPr/>
          <w:p>
            <w:pPr>
              <w:pStyle w:val="Compact"/>
              <w:jc w:val="center"/>
            </w:pPr>
            <w:r>
              <w:t xml:space="preserve">32</w:t>
            </w:r>
          </w:p>
        </w:tc>
        <w:tc>
          <w:tcPr/>
          <w:p>
            <w:pPr>
              <w:pStyle w:val="Compact"/>
              <w:jc w:val="center"/>
            </w:pPr>
            <w:r>
              <w:t xml:space="preserve">128</w:t>
            </w:r>
          </w:p>
        </w:tc>
        <w:tc>
          <w:tcPr/>
          <w:p>
            <w:pPr>
              <w:pStyle w:val="Compact"/>
              <w:jc w:val="center"/>
            </w:pPr>
            <w:r>
              <w:t xml:space="preserve">0.4</w:t>
            </w:r>
          </w:p>
        </w:tc>
        <w:tc>
          <w:tcPr/>
          <w:p>
            <w:pPr>
              <w:pStyle w:val="Compact"/>
              <w:jc w:val="center"/>
            </w:pPr>
            <w:r>
              <w:t xml:space="preserve">0.2698</w:t>
            </w:r>
          </w:p>
        </w:tc>
        <w:tc>
          <w:tcPr/>
          <w:p>
            <w:pPr>
              <w:pStyle w:val="Compact"/>
              <w:jc w:val="center"/>
            </w:pPr>
            <w:r>
              <w:t xml:space="preserve">0.4551</w:t>
            </w:r>
          </w:p>
        </w:tc>
        <w:tc>
          <w:tcPr/>
          <w:p>
            <w:pPr>
              <w:pStyle w:val="Compact"/>
            </w:pPr>
          </w:p>
        </w:tc>
      </w:tr>
      <w:tr>
        <w:tc>
          <w:tcPr/>
          <w:p>
            <w:pPr>
              <w:pStyle w:val="Compact"/>
              <w:jc w:val="center"/>
            </w:pPr>
            <w:r>
              <w:t xml:space="preserve">32</w:t>
            </w:r>
          </w:p>
        </w:tc>
        <w:tc>
          <w:tcPr/>
          <w:p>
            <w:pPr>
              <w:pStyle w:val="Compact"/>
              <w:jc w:val="center"/>
            </w:pPr>
            <w:r>
              <w:t xml:space="preserve">64</w:t>
            </w:r>
          </w:p>
        </w:tc>
        <w:tc>
          <w:tcPr/>
          <w:p>
            <w:pPr>
              <w:pStyle w:val="Compact"/>
              <w:jc w:val="center"/>
            </w:pPr>
            <w:r>
              <w:t xml:space="preserve">0.4</w:t>
            </w:r>
          </w:p>
        </w:tc>
        <w:tc>
          <w:tcPr/>
          <w:p>
            <w:pPr>
              <w:pStyle w:val="Compact"/>
              <w:jc w:val="center"/>
            </w:pPr>
            <w:r>
              <w:t xml:space="preserve">0.2433</w:t>
            </w:r>
          </w:p>
        </w:tc>
        <w:tc>
          <w:tcPr/>
          <w:p>
            <w:pPr>
              <w:pStyle w:val="Compact"/>
              <w:jc w:val="center"/>
            </w:pPr>
            <w:r>
              <w:t xml:space="preserve">0.3999</w:t>
            </w:r>
          </w:p>
        </w:tc>
        <w:tc>
          <w:tcPr/>
          <w:p>
            <w:pPr>
              <w:pStyle w:val="Compact"/>
            </w:pPr>
          </w:p>
        </w:tc>
      </w:tr>
      <w:tr>
        <w:tc>
          <w:tcPr/>
          <w:p>
            <w:pPr>
              <w:pStyle w:val="Compact"/>
              <w:jc w:val="center"/>
            </w:pPr>
            <w:r>
              <w:t xml:space="preserve">64</w:t>
            </w:r>
          </w:p>
        </w:tc>
        <w:tc>
          <w:tcPr/>
          <w:p>
            <w:pPr>
              <w:pStyle w:val="Compact"/>
              <w:jc w:val="center"/>
            </w:pPr>
            <w:r>
              <w:t xml:space="preserve">64</w:t>
            </w:r>
          </w:p>
        </w:tc>
        <w:tc>
          <w:tcPr/>
          <w:p>
            <w:pPr>
              <w:pStyle w:val="Compact"/>
              <w:jc w:val="center"/>
            </w:pPr>
            <w:r>
              <w:t xml:space="preserve">0.2</w:t>
            </w:r>
          </w:p>
        </w:tc>
        <w:tc>
          <w:tcPr/>
          <w:p>
            <w:pPr>
              <w:pStyle w:val="Compact"/>
              <w:jc w:val="center"/>
            </w:pPr>
            <w:r>
              <w:t xml:space="preserve">0.2418</w:t>
            </w:r>
          </w:p>
        </w:tc>
        <w:tc>
          <w:tcPr/>
          <w:p>
            <w:pPr>
              <w:pStyle w:val="Compact"/>
              <w:jc w:val="center"/>
            </w:pPr>
            <w:r>
              <w:t xml:space="preserve">0.4187</w:t>
            </w:r>
          </w:p>
        </w:tc>
        <w:tc>
          <w:tcPr/>
          <w:p>
            <w:pPr>
              <w:pStyle w:val="Compact"/>
            </w:pPr>
          </w:p>
        </w:tc>
      </w:tr>
      <w:tr>
        <w:tc>
          <w:tcPr/>
          <w:p>
            <w:pPr>
              <w:pStyle w:val="Compact"/>
              <w:jc w:val="center"/>
            </w:pPr>
            <w:r>
              <w:t xml:space="preserve">64</w:t>
            </w:r>
          </w:p>
        </w:tc>
        <w:tc>
          <w:tcPr/>
          <w:p>
            <w:pPr>
              <w:pStyle w:val="Compact"/>
              <w:jc w:val="center"/>
            </w:pPr>
            <w:r>
              <w:t xml:space="preserve">64</w:t>
            </w:r>
          </w:p>
        </w:tc>
        <w:tc>
          <w:tcPr/>
          <w:p>
            <w:pPr>
              <w:pStyle w:val="Compact"/>
              <w:jc w:val="center"/>
            </w:pPr>
            <w:r>
              <w:t xml:space="preserve">0.4</w:t>
            </w:r>
          </w:p>
        </w:tc>
        <w:tc>
          <w:tcPr/>
          <w:p>
            <w:pPr>
              <w:pStyle w:val="Compact"/>
              <w:jc w:val="center"/>
            </w:pPr>
            <w:r>
              <w:t xml:space="preserve">0.2368</w:t>
            </w:r>
          </w:p>
        </w:tc>
        <w:tc>
          <w:tcPr/>
          <w:p>
            <w:pPr>
              <w:pStyle w:val="Compact"/>
              <w:jc w:val="center"/>
            </w:pPr>
            <w:r>
              <w:t xml:space="preserve">0.4083</w:t>
            </w:r>
          </w:p>
        </w:tc>
        <w:tc>
          <w:tcPr/>
          <w:p>
            <w:pPr>
              <w:pStyle w:val="Compact"/>
            </w:pPr>
          </w:p>
        </w:tc>
      </w:tr>
      <w:tr>
        <w:tc>
          <w:tcPr/>
          <w:p>
            <w:pPr>
              <w:pStyle w:val="Compact"/>
              <w:jc w:val="center"/>
            </w:pPr>
            <w:r>
              <w:t xml:space="preserve">32</w:t>
            </w:r>
          </w:p>
        </w:tc>
        <w:tc>
          <w:tcPr/>
          <w:p>
            <w:pPr>
              <w:pStyle w:val="Compact"/>
              <w:jc w:val="center"/>
            </w:pPr>
            <w:r>
              <w:t xml:space="preserve">64</w:t>
            </w:r>
          </w:p>
        </w:tc>
        <w:tc>
          <w:tcPr/>
          <w:p>
            <w:pPr>
              <w:pStyle w:val="Compact"/>
              <w:jc w:val="center"/>
            </w:pPr>
            <w:r>
              <w:t xml:space="preserve">0.2</w:t>
            </w:r>
          </w:p>
        </w:tc>
        <w:tc>
          <w:tcPr/>
          <w:p>
            <w:pPr>
              <w:pStyle w:val="Compact"/>
              <w:jc w:val="center"/>
            </w:pPr>
            <w:r>
              <w:t xml:space="preserve">0.2152</w:t>
            </w:r>
          </w:p>
        </w:tc>
        <w:tc>
          <w:tcPr/>
          <w:p>
            <w:pPr>
              <w:pStyle w:val="Compact"/>
              <w:jc w:val="center"/>
            </w:pPr>
            <w:r>
              <w:t xml:space="preserve">0.3552</w:t>
            </w:r>
          </w:p>
        </w:tc>
        <w:tc>
          <w:tcPr/>
          <w:p>
            <w:pPr>
              <w:pStyle w:val="Compact"/>
            </w:pPr>
          </w:p>
        </w:tc>
      </w:tr>
    </w:tbl>
    <w:bookmarkEnd w:id="9"/>
    <w:p>
      <w:pPr>
        <w:pStyle w:val="BodyText"/>
      </w:pPr>
      <w:r>
        <w:t xml:space="preserve">Overall, increasing the number of LSTM units from 64 to 128 consistently improved performance, suggesting that greater temporal modeling capacity benefits this task. Embedding size had a smaller effect, while heavier regularization (0.4 dropout) generally reduced accuracy, likely due to mild underfitting. These results indicate that model capacity is currently more influential than embedding dimensionality in capturing event-transition structure.</w:t>
      </w:r>
    </w:p>
    <w:bookmarkEnd w:id="10"/>
    <w:bookmarkStart w:id="12" w:name="graph-based-markov-transition-model"/>
    <w:p>
      <w:pPr>
        <w:pStyle w:val="Heading2"/>
      </w:pPr>
      <w:r>
        <w:t xml:space="preserve">Graph-Based Markov Transition Model</w:t>
      </w:r>
    </w:p>
    <w:p>
      <w:pPr>
        <w:pStyle w:val="FirstParagraph"/>
      </w:pPr>
      <w:r>
        <w:t xml:space="preserve">To more directly align with the structural emphasis in the assigned literature, we implemented an explicit graph-based transition model. In this formulation, each occurrence code is treated as a node in a directed graph, and edges represent observed transitions between consecutive events within an accident sequence. Edge weights correspond to empirical transition frequencies. Prediction is then performed by selecting the most probable outgoing edge given the observed context.</w:t>
      </w:r>
    </w:p>
    <w:p>
      <w:pPr>
        <w:pStyle w:val="BodyText"/>
      </w:pPr>
      <w:r>
        <w:t xml:space="preserve">We evaluated first-, second-, third-, and fourth-order Markov models. Higher-order models condition on increasingly longer event histories, allowing the model to capture deeper temporal dependencies. We additionally explored Laplace smoothing (add-1) to mitigate sparsity and a global fallback strategy for unseen contexts. Results are shown in Table </w:t>
      </w:r>
      <w:hyperlink w:anchor="tab:markov_grid">
        <w:r>
          <w:rPr>
            <w:rStyle w:val="Hyperlink"/>
          </w:rPr>
          <w:t xml:space="preserve">2</w:t>
        </w:r>
      </w:hyperlink>
      <w:r>
        <w:t xml:space="preserve">.</w:t>
      </w:r>
    </w:p>
    <w:bookmarkStart w:id="11" w:name="tab:markov_grid"/>
    <w:p>
      <w:pPr>
        <w:pStyle w:val="TableCaption"/>
      </w:pPr>
      <w:r>
        <w:t xml:space="preserve">Markov Transition Model Grid Search Results</w:t>
      </w:r>
    </w:p>
    <w:tbl>
      <w:tblPr>
        <w:tblStyle w:val="Table"/>
        <w:tblW w:type="auto" w:w="0"/>
        <w:tblLook w:firstRow="1" w:lastRow="0" w:firstColumn="0" w:lastColumn="0" w:noHBand="0" w:noVBand="0" w:val="0020"/>
        <w:tblCaption w:val="Markov Transition Model Grid Search Results"/>
      </w:tblPr>
      <w:tblGrid>
        <w:gridCol w:w="1980"/>
        <w:gridCol w:w="1980"/>
        <w:gridCol w:w="1980"/>
        <w:gridCol w:w="1980"/>
      </w:tblGrid>
      <w:tr>
        <w:trPr>
          <w:tblHeader w:val="on"/>
        </w:trPr>
        <w:tc>
          <w:tcPr/>
          <w:p>
            <w:pPr>
              <w:pStyle w:val="Compact"/>
              <w:jc w:val="center"/>
            </w:pPr>
            <w:r>
              <w:t xml:space="preserve">Order</w:t>
            </w:r>
          </w:p>
        </w:tc>
        <w:tc>
          <w:tcPr/>
          <w:p>
            <w:pPr>
              <w:pStyle w:val="Compact"/>
              <w:jc w:val="center"/>
            </w:pPr>
            <w:r>
              <w:t xml:space="preserve">Smoothing</w:t>
            </w:r>
          </w:p>
        </w:tc>
        <w:tc>
          <w:tcPr/>
          <w:p>
            <w:pPr>
              <w:pStyle w:val="Compact"/>
              <w:jc w:val="center"/>
            </w:pPr>
            <w:r>
              <w:t xml:space="preserve">Fallback</w:t>
            </w:r>
          </w:p>
        </w:tc>
        <w:tc>
          <w:tcPr/>
          <w:p>
            <w:pPr>
              <w:pStyle w:val="Compact"/>
              <w:jc w:val="center"/>
            </w:pPr>
            <w:r>
              <w:t xml:space="preserve">Accuracy</w:t>
            </w:r>
          </w:p>
        </w:tc>
      </w:tr>
      <w:tr>
        <w:tc>
          <w:tcPr/>
          <w:p>
            <w:pPr>
              <w:pStyle w:val="Compact"/>
              <w:jc w:val="center"/>
            </w:pPr>
            <w:r>
              <w:t xml:space="preserve">3</w:t>
            </w:r>
          </w:p>
        </w:tc>
        <w:tc>
          <w:tcPr/>
          <w:p>
            <w:pPr>
              <w:pStyle w:val="Compact"/>
              <w:jc w:val="center"/>
            </w:pPr>
            <w:r>
              <w:t xml:space="preserve">0</w:t>
            </w:r>
          </w:p>
        </w:tc>
        <w:tc>
          <w:tcPr/>
          <w:p>
            <w:pPr>
              <w:pStyle w:val="Compact"/>
              <w:jc w:val="center"/>
            </w:pPr>
            <w:r>
              <w:t xml:space="preserve">none</w:t>
            </w:r>
          </w:p>
        </w:tc>
        <w:tc>
          <w:tcPr/>
          <w:p>
            <w:pPr>
              <w:pStyle w:val="Compact"/>
              <w:jc w:val="center"/>
            </w:pPr>
            <w:r>
              <w:t xml:space="preserve">0.4335</w:t>
            </w:r>
          </w:p>
        </w:tc>
      </w:tr>
      <w:tr>
        <w:tc>
          <w:tcPr/>
          <w:p>
            <w:pPr>
              <w:pStyle w:val="Compact"/>
              <w:jc w:val="center"/>
            </w:pPr>
            <w:r>
              <w:t xml:space="preserve">3</w:t>
            </w:r>
          </w:p>
        </w:tc>
        <w:tc>
          <w:tcPr/>
          <w:p>
            <w:pPr>
              <w:pStyle w:val="Compact"/>
              <w:jc w:val="center"/>
            </w:pPr>
            <w:r>
              <w:t xml:space="preserve">1</w:t>
            </w:r>
          </w:p>
        </w:tc>
        <w:tc>
          <w:tcPr/>
          <w:p>
            <w:pPr>
              <w:pStyle w:val="Compact"/>
              <w:jc w:val="center"/>
            </w:pPr>
            <w:r>
              <w:t xml:space="preserve">none</w:t>
            </w:r>
          </w:p>
        </w:tc>
        <w:tc>
          <w:tcPr/>
          <w:p>
            <w:pPr>
              <w:pStyle w:val="Compact"/>
              <w:jc w:val="center"/>
            </w:pPr>
            <w:r>
              <w:t xml:space="preserve">0.4335</w:t>
            </w:r>
          </w:p>
        </w:tc>
      </w:tr>
      <w:tr>
        <w:tc>
          <w:tcPr/>
          <w:p>
            <w:pPr>
              <w:pStyle w:val="Compact"/>
              <w:jc w:val="center"/>
            </w:pPr>
            <w:r>
              <w:t xml:space="preserve">2</w:t>
            </w:r>
          </w:p>
        </w:tc>
        <w:tc>
          <w:tcPr/>
          <w:p>
            <w:pPr>
              <w:pStyle w:val="Compact"/>
              <w:jc w:val="center"/>
            </w:pPr>
            <w:r>
              <w:t xml:space="preserve">0</w:t>
            </w:r>
          </w:p>
        </w:tc>
        <w:tc>
          <w:tcPr/>
          <w:p>
            <w:pPr>
              <w:pStyle w:val="Compact"/>
              <w:jc w:val="center"/>
            </w:pPr>
            <w:r>
              <w:t xml:space="preserve">none</w:t>
            </w:r>
          </w:p>
        </w:tc>
        <w:tc>
          <w:tcPr/>
          <w:p>
            <w:pPr>
              <w:pStyle w:val="Compact"/>
              <w:jc w:val="center"/>
            </w:pPr>
            <w:r>
              <w:t xml:space="preserve">0.3507</w:t>
            </w:r>
          </w:p>
        </w:tc>
      </w:tr>
      <w:tr>
        <w:tc>
          <w:tcPr/>
          <w:p>
            <w:pPr>
              <w:pStyle w:val="Compact"/>
              <w:jc w:val="center"/>
            </w:pPr>
            <w:r>
              <w:t xml:space="preserve">2</w:t>
            </w:r>
          </w:p>
        </w:tc>
        <w:tc>
          <w:tcPr/>
          <w:p>
            <w:pPr>
              <w:pStyle w:val="Compact"/>
              <w:jc w:val="center"/>
            </w:pPr>
            <w:r>
              <w:t xml:space="preserve">1</w:t>
            </w:r>
          </w:p>
        </w:tc>
        <w:tc>
          <w:tcPr/>
          <w:p>
            <w:pPr>
              <w:pStyle w:val="Compact"/>
              <w:jc w:val="center"/>
            </w:pPr>
            <w:r>
              <w:t xml:space="preserve">none</w:t>
            </w:r>
          </w:p>
        </w:tc>
        <w:tc>
          <w:tcPr/>
          <w:p>
            <w:pPr>
              <w:pStyle w:val="Compact"/>
              <w:jc w:val="center"/>
            </w:pPr>
            <w:r>
              <w:t xml:space="preserve">0.3507</w:t>
            </w:r>
          </w:p>
        </w:tc>
      </w:tr>
      <w:tr>
        <w:tc>
          <w:tcPr/>
          <w:p>
            <w:pPr>
              <w:pStyle w:val="Compact"/>
              <w:jc w:val="center"/>
            </w:pPr>
            <w:r>
              <w:t xml:space="preserve">4</w:t>
            </w:r>
          </w:p>
        </w:tc>
        <w:tc>
          <w:tcPr/>
          <w:p>
            <w:pPr>
              <w:pStyle w:val="Compact"/>
              <w:jc w:val="center"/>
            </w:pPr>
            <w:r>
              <w:t xml:space="preserve">0</w:t>
            </w:r>
          </w:p>
        </w:tc>
        <w:tc>
          <w:tcPr/>
          <w:p>
            <w:pPr>
              <w:pStyle w:val="Compact"/>
              <w:jc w:val="center"/>
            </w:pPr>
            <w:r>
              <w:t xml:space="preserve">none</w:t>
            </w:r>
          </w:p>
        </w:tc>
        <w:tc>
          <w:tcPr/>
          <w:p>
            <w:pPr>
              <w:pStyle w:val="Compact"/>
              <w:jc w:val="center"/>
            </w:pPr>
            <w:r>
              <w:t xml:space="preserve">0.3333</w:t>
            </w:r>
          </w:p>
        </w:tc>
      </w:tr>
      <w:tr>
        <w:tc>
          <w:tcPr/>
          <w:p>
            <w:pPr>
              <w:pStyle w:val="Compact"/>
              <w:jc w:val="center"/>
            </w:pPr>
            <w:r>
              <w:t xml:space="preserve">4</w:t>
            </w:r>
          </w:p>
        </w:tc>
        <w:tc>
          <w:tcPr/>
          <w:p>
            <w:pPr>
              <w:pStyle w:val="Compact"/>
              <w:jc w:val="center"/>
            </w:pPr>
            <w:r>
              <w:t xml:space="preserve">1</w:t>
            </w:r>
          </w:p>
        </w:tc>
        <w:tc>
          <w:tcPr/>
          <w:p>
            <w:pPr>
              <w:pStyle w:val="Compact"/>
              <w:jc w:val="center"/>
            </w:pPr>
            <w:r>
              <w:t xml:space="preserve">none</w:t>
            </w:r>
          </w:p>
        </w:tc>
        <w:tc>
          <w:tcPr/>
          <w:p>
            <w:pPr>
              <w:pStyle w:val="Compact"/>
              <w:jc w:val="center"/>
            </w:pPr>
            <w:r>
              <w:t xml:space="preserve">0.3333</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none</w:t>
            </w:r>
          </w:p>
        </w:tc>
        <w:tc>
          <w:tcPr/>
          <w:p>
            <w:pPr>
              <w:pStyle w:val="Compact"/>
              <w:jc w:val="center"/>
            </w:pPr>
            <w:r>
              <w:t xml:space="preserve">0.3103</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none</w:t>
            </w:r>
          </w:p>
        </w:tc>
        <w:tc>
          <w:tcPr/>
          <w:p>
            <w:pPr>
              <w:pStyle w:val="Compact"/>
              <w:jc w:val="center"/>
            </w:pPr>
            <w:r>
              <w:t xml:space="preserve">0.3103</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global</w:t>
            </w:r>
          </w:p>
        </w:tc>
        <w:tc>
          <w:tcPr/>
          <w:p>
            <w:pPr>
              <w:pStyle w:val="Compact"/>
              <w:jc w:val="center"/>
            </w:pPr>
            <w:r>
              <w:t xml:space="preserve">0.3067</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global</w:t>
            </w:r>
          </w:p>
        </w:tc>
        <w:tc>
          <w:tcPr/>
          <w:p>
            <w:pPr>
              <w:pStyle w:val="Compact"/>
              <w:jc w:val="center"/>
            </w:pPr>
            <w:r>
              <w:t xml:space="preserve">0.3067</w:t>
            </w:r>
          </w:p>
        </w:tc>
      </w:tr>
      <w:tr>
        <w:tc>
          <w:tcPr/>
          <w:p>
            <w:pPr>
              <w:pStyle w:val="Compact"/>
              <w:jc w:val="center"/>
            </w:pPr>
            <w:r>
              <w:t xml:space="preserve">2</w:t>
            </w:r>
          </w:p>
        </w:tc>
        <w:tc>
          <w:tcPr/>
          <w:p>
            <w:pPr>
              <w:pStyle w:val="Compact"/>
              <w:jc w:val="center"/>
            </w:pPr>
            <w:r>
              <w:t xml:space="preserve">0</w:t>
            </w:r>
          </w:p>
        </w:tc>
        <w:tc>
          <w:tcPr/>
          <w:p>
            <w:pPr>
              <w:pStyle w:val="Compact"/>
              <w:jc w:val="center"/>
            </w:pPr>
            <w:r>
              <w:t xml:space="preserve">global</w:t>
            </w:r>
          </w:p>
        </w:tc>
        <w:tc>
          <w:tcPr/>
          <w:p>
            <w:pPr>
              <w:pStyle w:val="Compact"/>
              <w:jc w:val="center"/>
            </w:pPr>
            <w:r>
              <w:t xml:space="preserve">0.2739</w:t>
            </w:r>
          </w:p>
        </w:tc>
      </w:tr>
      <w:tr>
        <w:tc>
          <w:tcPr/>
          <w:p>
            <w:pPr>
              <w:pStyle w:val="Compact"/>
              <w:jc w:val="center"/>
            </w:pPr>
            <w:r>
              <w:t xml:space="preserve">2</w:t>
            </w:r>
          </w:p>
        </w:tc>
        <w:tc>
          <w:tcPr/>
          <w:p>
            <w:pPr>
              <w:pStyle w:val="Compact"/>
              <w:jc w:val="center"/>
            </w:pPr>
            <w:r>
              <w:t xml:space="preserve">1</w:t>
            </w:r>
          </w:p>
        </w:tc>
        <w:tc>
          <w:tcPr/>
          <w:p>
            <w:pPr>
              <w:pStyle w:val="Compact"/>
              <w:jc w:val="center"/>
            </w:pPr>
            <w:r>
              <w:t xml:space="preserve">global</w:t>
            </w:r>
          </w:p>
        </w:tc>
        <w:tc>
          <w:tcPr/>
          <w:p>
            <w:pPr>
              <w:pStyle w:val="Compact"/>
              <w:jc w:val="center"/>
            </w:pPr>
            <w:r>
              <w:t xml:space="preserve">0.2739</w:t>
            </w:r>
          </w:p>
        </w:tc>
      </w:tr>
      <w:tr>
        <w:tc>
          <w:tcPr/>
          <w:p>
            <w:pPr>
              <w:pStyle w:val="Compact"/>
              <w:jc w:val="center"/>
            </w:pPr>
            <w:r>
              <w:t xml:space="preserve">3</w:t>
            </w:r>
          </w:p>
        </w:tc>
        <w:tc>
          <w:tcPr/>
          <w:p>
            <w:pPr>
              <w:pStyle w:val="Compact"/>
              <w:jc w:val="center"/>
            </w:pPr>
            <w:r>
              <w:t xml:space="preserve">0</w:t>
            </w:r>
          </w:p>
        </w:tc>
        <w:tc>
          <w:tcPr/>
          <w:p>
            <w:pPr>
              <w:pStyle w:val="Compact"/>
              <w:jc w:val="center"/>
            </w:pPr>
            <w:r>
              <w:t xml:space="preserve">global</w:t>
            </w:r>
          </w:p>
        </w:tc>
        <w:tc>
          <w:tcPr/>
          <w:p>
            <w:pPr>
              <w:pStyle w:val="Compact"/>
              <w:jc w:val="center"/>
            </w:pPr>
            <w:r>
              <w:t xml:space="preserve">0.1946</w:t>
            </w:r>
          </w:p>
        </w:tc>
      </w:tr>
      <w:tr>
        <w:tc>
          <w:tcPr/>
          <w:p>
            <w:pPr>
              <w:pStyle w:val="Compact"/>
              <w:jc w:val="center"/>
            </w:pPr>
            <w:r>
              <w:t xml:space="preserve">3</w:t>
            </w:r>
          </w:p>
        </w:tc>
        <w:tc>
          <w:tcPr/>
          <w:p>
            <w:pPr>
              <w:pStyle w:val="Compact"/>
              <w:jc w:val="center"/>
            </w:pPr>
            <w:r>
              <w:t xml:space="preserve">1</w:t>
            </w:r>
          </w:p>
        </w:tc>
        <w:tc>
          <w:tcPr/>
          <w:p>
            <w:pPr>
              <w:pStyle w:val="Compact"/>
              <w:jc w:val="center"/>
            </w:pPr>
            <w:r>
              <w:t xml:space="preserve">global</w:t>
            </w:r>
          </w:p>
        </w:tc>
        <w:tc>
          <w:tcPr/>
          <w:p>
            <w:pPr>
              <w:pStyle w:val="Compact"/>
              <w:jc w:val="center"/>
            </w:pPr>
            <w:r>
              <w:t xml:space="preserve">0.1946</w:t>
            </w:r>
          </w:p>
        </w:tc>
      </w:tr>
      <w:tr>
        <w:tc>
          <w:tcPr/>
          <w:p>
            <w:pPr>
              <w:pStyle w:val="Compact"/>
              <w:jc w:val="center"/>
            </w:pPr>
            <w:r>
              <w:t xml:space="preserve">4</w:t>
            </w:r>
          </w:p>
        </w:tc>
        <w:tc>
          <w:tcPr/>
          <w:p>
            <w:pPr>
              <w:pStyle w:val="Compact"/>
              <w:jc w:val="center"/>
            </w:pPr>
            <w:r>
              <w:t xml:space="preserve">0</w:t>
            </w:r>
          </w:p>
        </w:tc>
        <w:tc>
          <w:tcPr/>
          <w:p>
            <w:pPr>
              <w:pStyle w:val="Compact"/>
              <w:jc w:val="center"/>
            </w:pPr>
            <w:r>
              <w:t xml:space="preserve">global</w:t>
            </w:r>
          </w:p>
        </w:tc>
        <w:tc>
          <w:tcPr/>
          <w:p>
            <w:pPr>
              <w:pStyle w:val="Compact"/>
              <w:jc w:val="center"/>
            </w:pPr>
            <w:r>
              <w:t xml:space="preserve">0.0867</w:t>
            </w:r>
          </w:p>
        </w:tc>
      </w:tr>
      <w:tr>
        <w:tc>
          <w:tcPr/>
          <w:p>
            <w:pPr>
              <w:pStyle w:val="Compact"/>
              <w:jc w:val="center"/>
            </w:pPr>
            <w:r>
              <w:t xml:space="preserve">4</w:t>
            </w:r>
          </w:p>
        </w:tc>
        <w:tc>
          <w:tcPr/>
          <w:p>
            <w:pPr>
              <w:pStyle w:val="Compact"/>
              <w:jc w:val="center"/>
            </w:pPr>
            <w:r>
              <w:t xml:space="preserve">1</w:t>
            </w:r>
          </w:p>
        </w:tc>
        <w:tc>
          <w:tcPr/>
          <w:p>
            <w:pPr>
              <w:pStyle w:val="Compact"/>
              <w:jc w:val="center"/>
            </w:pPr>
            <w:r>
              <w:t xml:space="preserve">global</w:t>
            </w:r>
          </w:p>
        </w:tc>
        <w:tc>
          <w:tcPr/>
          <w:p>
            <w:pPr>
              <w:pStyle w:val="Compact"/>
              <w:jc w:val="center"/>
            </w:pPr>
            <w:r>
              <w:t xml:space="preserve">0.0867</w:t>
            </w:r>
          </w:p>
        </w:tc>
      </w:tr>
    </w:tbl>
    <w:bookmarkEnd w:id="11"/>
    <w:p>
      <w:pPr>
        <w:pStyle w:val="BodyText"/>
      </w:pPr>
      <w:r>
        <w:t xml:space="preserve">Several important observations emerge from these results. First, predictive performance increases substantially as the Markov order increases from one (31.03%) to two (35.07%) and then to three (43.35%). This monotonic improvement through third order indicates that aviation event transitions exhibit meaningful multi-step contextual dependencies. Conditioning on the two previous events alone is insufficient to fully capture the transition structure; incorporating three-step context yields a large additional gain.</w:t>
      </w:r>
    </w:p>
    <w:p>
      <w:pPr>
        <w:pStyle w:val="BodyText"/>
      </w:pPr>
      <w:r>
        <w:t xml:space="preserve">However, increasing the order to four results in a decline in accuracy (33.33%), suggesting sparsity-induced degradation. As order increases, the context space grows combinatorially, leading to many rarely observed sequences and unstable probability estimates. The fourth-order drop therefore reflects a classic bias–variance tradeoff: while additional context can improve modeling capacity, excessive contextual specificity reduces generalization performance.</w:t>
      </w:r>
    </w:p>
    <w:p>
      <w:pPr>
        <w:pStyle w:val="BodyText"/>
      </w:pPr>
      <w:r>
        <w:t xml:space="preserve">Laplace smoothing had no measurable impact on accuracy across configurations, indicating that sparsity at these orders is driven more by structural context explosion than zero-frequency edge issues. Furthermore, introducing a global fallback strategy consistently reduced performance, particularly at higher orders. This suggests that preserving contextual specificity is critical and that reverting to global frequency priors discards meaningful structural information.</w:t>
      </w:r>
    </w:p>
    <w:bookmarkEnd w:id="12"/>
    <w:bookmarkStart w:id="13" w:name="Xedc4f36fd13ac1e79bc13ca08c0ecaf03dd12fc"/>
    <w:p>
      <w:pPr>
        <w:pStyle w:val="Heading2"/>
      </w:pPr>
      <w:r>
        <w:t xml:space="preserve">Comparison of Neural and Graph-Based Approaches</w:t>
      </w:r>
    </w:p>
    <w:p>
      <w:pPr>
        <w:pStyle w:val="FirstParagraph"/>
      </w:pPr>
      <w:r>
        <w:t xml:space="preserve">Comparing the two modeling paradigms provides additional insight into the nature of the event sequences. While the best LSTM configuration achieved a test accuracy of 29.48%, the third-order Markov graph model achieved 43.35% accuracy under its optimal configuration. Notably, this improvement was achieved using a simpler and more interpretable probabilistic framework.</w:t>
      </w:r>
    </w:p>
    <w:p>
      <w:pPr>
        <w:pStyle w:val="BodyText"/>
      </w:pPr>
      <w:r>
        <w:t xml:space="preserve">These results suggest that the predictive structure of aviation event sequences is primarily short- to medium-range and structurally driven. Increasing contextual order within an explicit transition model yielded greater gains than increasing neural representational capacity. Moreover, the decline at fourth order indicates that meaningful temporal dependency exists up to approximately three steps, beyond which sparsity dominates.</w:t>
      </w:r>
    </w:p>
    <w:p>
      <w:pPr>
        <w:pStyle w:val="BodyText"/>
      </w:pPr>
      <w:r>
        <w:t xml:space="preserve">In other words, the dominant signal in the data appears to lie in explicit local transition structure rather than deeper nonlinear temporal abstraction. This finding reinforces the relevance of graph-based modeling within the GraphFault framework and demonstrates that structured probabilistic transition graphs can provide strong and interpretable predictive baselines for event sequence analysis.</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Feb 20 Update</dc:title>
  <dc:creator>Team 3</dc:creator>
  <cp:keywords/>
  <dcterms:created xsi:type="dcterms:W3CDTF">2026-03-27T16:44:44Z</dcterms:created>
  <dcterms:modified xsi:type="dcterms:W3CDTF">2026-03-27T16:44:44Z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ies>
</file>