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32ED186" w:rsidP="6E962E23" w:rsidRDefault="532ED186" w14:paraId="4A2F03A5" w14:textId="74FAD229">
      <w:pPr>
        <w:pStyle w:val="Title"/>
        <w:spacing w:before="0" w:beforeAutospacing="off" w:after="80" w:afterAutospacing="off"/>
        <w:jc w:val="center"/>
      </w:pPr>
      <w:r w:rsidRPr="6E962E23" w:rsidR="532ED186">
        <w:rPr>
          <w:rFonts w:ascii="Aptos Display" w:hAnsi="Aptos Display" w:eastAsia="Aptos Display" w:cs="Aptos Display"/>
          <w:noProof w:val="0"/>
          <w:sz w:val="56"/>
          <w:szCs w:val="56"/>
          <w:lang w:val="en-US"/>
        </w:rPr>
        <w:t>Weekly Update</w:t>
      </w:r>
    </w:p>
    <w:p w:rsidR="532ED186" w:rsidP="6E962E23" w:rsidRDefault="532ED186" w14:paraId="4888ED53" w14:textId="69938C63">
      <w:pPr>
        <w:spacing w:before="0" w:beforeAutospacing="off" w:after="80" w:afterAutospacing="off"/>
        <w:jc w:val="center"/>
      </w:pPr>
      <w:r w:rsidRPr="6E962E23" w:rsidR="532ED186">
        <w:rPr>
          <w:rFonts w:ascii="Aptos Display" w:hAnsi="Aptos Display" w:eastAsia="Aptos Display" w:cs="Aptos Display"/>
          <w:noProof w:val="0"/>
          <w:sz w:val="24"/>
          <w:szCs w:val="24"/>
          <w:lang w:val="en-US"/>
        </w:rPr>
        <w:t>Jordan Gewing-Mullins and Matthew Jarvis</w:t>
      </w:r>
    </w:p>
    <w:p w:rsidR="532ED186" w:rsidP="6E962E23" w:rsidRDefault="532ED186" w14:paraId="333A35F8" w14:textId="1B3422D8">
      <w:pPr>
        <w:pStyle w:val="Heading1"/>
        <w:spacing w:before="360" w:beforeAutospacing="off" w:after="80" w:afterAutospacing="off"/>
      </w:pPr>
      <w:r w:rsidRPr="6E962E23" w:rsidR="532ED186">
        <w:rPr>
          <w:rFonts w:ascii="Aptos Display" w:hAnsi="Aptos Display" w:eastAsia="Aptos Display" w:cs="Aptos Display"/>
          <w:b w:val="0"/>
          <w:bCs w:val="0"/>
          <w:noProof w:val="0"/>
          <w:color w:val="0F4761" w:themeColor="accent1" w:themeTint="FF" w:themeShade="BF"/>
          <w:sz w:val="40"/>
          <w:szCs w:val="40"/>
          <w:lang w:val="en-US"/>
        </w:rPr>
        <w:t>Introduction</w:t>
      </w:r>
    </w:p>
    <w:p w:rsidR="532ED186" w:rsidP="6E962E23" w:rsidRDefault="532ED186" w14:paraId="350D6596" w14:textId="451CC578">
      <w:pPr>
        <w:spacing w:before="180" w:beforeAutospacing="off" w:after="180" w:afterAutospacing="off"/>
      </w:pPr>
      <w:r w:rsidRPr="6E962E23" w:rsidR="532ED186">
        <w:rPr>
          <w:rFonts w:ascii="Aptos" w:hAnsi="Aptos" w:eastAsia="Aptos" w:cs="Aptos"/>
          <w:noProof w:val="0"/>
          <w:sz w:val="24"/>
          <w:szCs w:val="24"/>
          <w:lang w:val="en-US"/>
        </w:rPr>
        <w:t>This report summarizes the exploratory analysis and modeling approach used to study a dataset of industrial diagnostic questions. The dataset focuses on reasoning about relationships between industrial assets, the sensors used to monitor them, and the failure modes that those sensors may help detect. The goal of the analysis is to better understand the structure of the dataset and to develop models capable of identifying relevant diagnostic relationships between sensors and potential failures.</w:t>
      </w:r>
    </w:p>
    <w:p w:rsidR="532ED186" w:rsidP="6E962E23" w:rsidRDefault="532ED186" w14:paraId="342AF7EB" w14:textId="4553448B">
      <w:pPr>
        <w:pStyle w:val="Heading1"/>
        <w:spacing w:before="360" w:beforeAutospacing="off" w:after="80" w:afterAutospacing="off"/>
      </w:pPr>
      <w:r w:rsidRPr="6E962E23" w:rsidR="532ED186">
        <w:rPr>
          <w:rFonts w:ascii="Aptos Display" w:hAnsi="Aptos Display" w:eastAsia="Aptos Display" w:cs="Aptos Display"/>
          <w:b w:val="0"/>
          <w:bCs w:val="0"/>
          <w:noProof w:val="0"/>
          <w:color w:val="0F4761" w:themeColor="accent1" w:themeTint="FF" w:themeShade="BF"/>
          <w:sz w:val="40"/>
          <w:szCs w:val="40"/>
          <w:lang w:val="en-US"/>
        </w:rPr>
        <w:t>Exploratory Data Analysis</w:t>
      </w:r>
    </w:p>
    <w:p w:rsidR="532ED186" w:rsidP="6E962E23" w:rsidRDefault="532ED186" w14:paraId="3C6B0592" w14:textId="329F834F">
      <w:pPr>
        <w:spacing w:before="180" w:beforeAutospacing="off" w:after="180" w:afterAutospacing="off"/>
      </w:pPr>
      <w:r w:rsidRPr="6E962E23" w:rsidR="532ED186">
        <w:rPr>
          <w:rFonts w:ascii="Aptos" w:hAnsi="Aptos" w:eastAsia="Aptos" w:cs="Aptos"/>
          <w:noProof w:val="0"/>
          <w:sz w:val="24"/>
          <w:szCs w:val="24"/>
          <w:lang w:val="en-US"/>
        </w:rPr>
        <w:t>The exploratory data analysis focuses on understanding how the dataset represents relationships between industrial equipment, sensor measurements, and potential failure conditions. By examining the distribution of assets, sensor usage, and the structure of the questions themselves, it is possible to identify patterns that inform the modeling approach used later in this report.</w:t>
      </w:r>
    </w:p>
    <w:p w:rsidR="532ED186" w:rsidP="6E962E23" w:rsidRDefault="532ED186" w14:paraId="2CCB434E" w14:textId="24CA2DE2">
      <w:pPr>
        <w:pStyle w:val="Heading2"/>
        <w:spacing w:before="160" w:beforeAutospacing="off" w:after="80" w:afterAutospacing="off"/>
      </w:pPr>
      <w:r w:rsidRPr="6E962E23" w:rsidR="532ED186">
        <w:rPr>
          <w:rFonts w:ascii="Aptos Display" w:hAnsi="Aptos Display" w:eastAsia="Aptos Display" w:cs="Aptos Display"/>
          <w:b w:val="0"/>
          <w:bCs w:val="0"/>
          <w:noProof w:val="0"/>
          <w:color w:val="0F4761" w:themeColor="accent1" w:themeTint="FF" w:themeShade="BF"/>
          <w:sz w:val="32"/>
          <w:szCs w:val="32"/>
          <w:lang w:val="en-US"/>
        </w:rPr>
        <w:t>Asset Distribution</w:t>
      </w:r>
    </w:p>
    <w:p w:rsidR="532ED186" w:rsidP="6E962E23" w:rsidRDefault="532ED186" w14:paraId="59F050B0" w14:textId="780C9AFE">
      <w:pPr>
        <w:spacing w:before="180" w:beforeAutospacing="off" w:after="180" w:afterAutospacing="off"/>
      </w:pPr>
      <w:r w:rsidRPr="6E962E23" w:rsidR="532ED186">
        <w:rPr>
          <w:rFonts w:ascii="Aptos" w:hAnsi="Aptos" w:eastAsia="Aptos" w:cs="Aptos"/>
          <w:noProof w:val="0"/>
          <w:sz w:val="24"/>
          <w:szCs w:val="24"/>
          <w:lang w:val="en-US"/>
        </w:rPr>
        <w:t>The dataset contains questions associated with ten different industrial asset classes. These assets include electric motors, steam turbines, aero gas turbines, industrial gas turbines, pumps, compressors, reciprocating internal combustion engines, electric generators, fans, and power transformers.</w:t>
      </w:r>
    </w:p>
    <w:p w:rsidR="532ED186" w:rsidP="6E962E23" w:rsidRDefault="532ED186" w14:paraId="691FA986" w14:textId="20AAAB36">
      <w:pPr>
        <w:spacing w:before="180" w:beforeAutospacing="off" w:after="180" w:afterAutospacing="off"/>
      </w:pPr>
      <w:r w:rsidRPr="6E962E23" w:rsidR="532ED186">
        <w:rPr>
          <w:rFonts w:ascii="Aptos" w:hAnsi="Aptos" w:eastAsia="Aptos" w:cs="Aptos"/>
          <w:noProof w:val="0"/>
          <w:sz w:val="24"/>
          <w:szCs w:val="24"/>
          <w:lang w:val="en-US"/>
        </w:rPr>
        <w:t xml:space="preserve">Figure </w:t>
      </w:r>
      <w:hyperlink r:id="R52ff5f6137d345ed">
        <w:r w:rsidRPr="6E962E23" w:rsidR="532ED186">
          <w:rPr>
            <w:rStyle w:val="Hyperlink"/>
            <w:rFonts w:ascii="Aptos" w:hAnsi="Aptos" w:eastAsia="Aptos" w:cs="Aptos"/>
            <w:noProof w:val="0"/>
            <w:color w:val="156082" w:themeColor="accent1" w:themeTint="FF" w:themeShade="FF"/>
            <w:sz w:val="24"/>
            <w:szCs w:val="24"/>
            <w:lang w:val="en-US"/>
          </w:rPr>
          <w:t>1</w:t>
        </w:r>
      </w:hyperlink>
      <w:r w:rsidRPr="6E962E23" w:rsidR="532ED186">
        <w:rPr>
          <w:rFonts w:ascii="Aptos" w:hAnsi="Aptos" w:eastAsia="Aptos" w:cs="Aptos"/>
          <w:noProof w:val="0"/>
          <w:sz w:val="24"/>
          <w:szCs w:val="24"/>
          <w:lang w:val="en-US"/>
        </w:rPr>
        <w:t xml:space="preserve"> shows the distribution of questions across these asset types. The dataset is not evenly balanced across assets. Power transformers account for the largest number of questions, with approximately 550 entries. At the opposite end of the distribution, pumps and steam turbines appear least frequently, with approximately 150–170 questions each. Gas turbines and reciprocating engines appear at intermediate frequencies, while motors, generators, compressors, and fans occupy a middle range.</w:t>
      </w:r>
    </w:p>
    <w:p w:rsidR="532ED186" w:rsidP="6E962E23" w:rsidRDefault="532ED186" w14:paraId="10E7CF90" w14:textId="4D2359DB">
      <w:pPr>
        <w:spacing w:before="180" w:beforeAutospacing="off" w:after="180" w:afterAutospacing="off"/>
      </w:pPr>
      <w:r w:rsidRPr="6E962E23" w:rsidR="532ED186">
        <w:rPr>
          <w:rFonts w:ascii="Aptos" w:hAnsi="Aptos" w:eastAsia="Aptos" w:cs="Aptos"/>
          <w:noProof w:val="0"/>
          <w:sz w:val="24"/>
          <w:szCs w:val="24"/>
          <w:lang w:val="en-US"/>
        </w:rPr>
        <w:t>This uneven distribution suggests that the dataset places greater emphasis on equipment where sensor-based diagnostics are particularly important. In particular, rotating machinery and high-voltage electrical equipment such as power transformers appear prominently in the dataset.</w:t>
      </w:r>
    </w:p>
    <w:p w:rsidR="532ED186" w:rsidP="6E962E23" w:rsidRDefault="532ED186" w14:paraId="62CCAF46" w14:textId="5C4A8947">
      <w:pPr>
        <w:spacing w:before="0" w:beforeAutospacing="off" w:after="200" w:afterAutospacing="off"/>
      </w:pPr>
      <w:r w:rsidR="532ED186">
        <w:drawing>
          <wp:inline wp14:editId="14528FA7" wp14:anchorId="43957556">
            <wp:extent cx="3600450" cy="2247900"/>
            <wp:effectExtent l="0" t="0" r="0" b="0"/>
            <wp:docPr id="19701940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0194083" name="Picture 1970194083"/>
                    <pic:cNvPicPr/>
                  </pic:nvPicPr>
                  <pic:blipFill>
                    <a:blip xmlns:r="http://schemas.openxmlformats.org/officeDocument/2006/relationships" r:embed="rId1384139502">
                      <a:extLst>
                        <a:ext uri="{28A0092B-C50C-407E-A947-70E740481C1C}">
                          <a14:useLocalDpi xmlns:a14="http://schemas.microsoft.com/office/drawing/2010/main"/>
                        </a:ext>
                      </a:extLst>
                    </a:blip>
                    <a:stretch>
                      <a:fillRect/>
                    </a:stretch>
                  </pic:blipFill>
                  <pic:spPr>
                    <a:xfrm>
                      <a:off x="0" y="0"/>
                      <a:ext cx="3600450" cy="2247900"/>
                    </a:xfrm>
                    <a:prstGeom prst="rect">
                      <a:avLst/>
                    </a:prstGeom>
                  </pic:spPr>
                </pic:pic>
              </a:graphicData>
            </a:graphic>
          </wp:inline>
        </w:drawing>
      </w:r>
    </w:p>
    <w:p w:rsidR="532ED186" w:rsidP="6E962E23" w:rsidRDefault="532ED186" w14:paraId="392D2F3F" w14:textId="275881BD">
      <w:pPr>
        <w:spacing w:before="0" w:beforeAutospacing="off" w:after="120" w:afterAutospacing="off"/>
      </w:pPr>
      <w:r w:rsidRPr="6E962E23" w:rsidR="532ED186">
        <w:rPr>
          <w:rFonts w:ascii="Aptos" w:hAnsi="Aptos" w:eastAsia="Aptos" w:cs="Aptos"/>
          <w:i w:val="1"/>
          <w:iCs w:val="1"/>
          <w:noProof w:val="0"/>
          <w:sz w:val="24"/>
          <w:szCs w:val="24"/>
          <w:lang w:val="en-US"/>
        </w:rPr>
        <w:t>Distribution of questions across asset types.</w:t>
      </w:r>
    </w:p>
    <w:p w:rsidR="532ED186" w:rsidP="6E962E23" w:rsidRDefault="532ED186" w14:paraId="26245CE0" w14:textId="53E106A2">
      <w:pPr>
        <w:pStyle w:val="Heading2"/>
        <w:spacing w:before="160" w:beforeAutospacing="off" w:after="80" w:afterAutospacing="off"/>
      </w:pPr>
      <w:r w:rsidRPr="6E962E23" w:rsidR="532ED186">
        <w:rPr>
          <w:rFonts w:ascii="Aptos Display" w:hAnsi="Aptos Display" w:eastAsia="Aptos Display" w:cs="Aptos Display"/>
          <w:b w:val="0"/>
          <w:bCs w:val="0"/>
          <w:noProof w:val="0"/>
          <w:color w:val="0F4761" w:themeColor="accent1" w:themeTint="FF" w:themeShade="BF"/>
          <w:sz w:val="32"/>
          <w:szCs w:val="32"/>
          <w:lang w:val="en-US"/>
        </w:rPr>
        <w:t>Sensor Frequency</w:t>
      </w:r>
    </w:p>
    <w:p w:rsidR="532ED186" w:rsidP="6E962E23" w:rsidRDefault="532ED186" w14:paraId="12110C78" w14:textId="4624DF84">
      <w:pPr>
        <w:spacing w:before="180" w:beforeAutospacing="off" w:after="180" w:afterAutospacing="off"/>
      </w:pPr>
      <w:r w:rsidRPr="6E962E23" w:rsidR="532ED186">
        <w:rPr>
          <w:rFonts w:ascii="Aptos" w:hAnsi="Aptos" w:eastAsia="Aptos" w:cs="Aptos"/>
          <w:noProof w:val="0"/>
          <w:sz w:val="24"/>
          <w:szCs w:val="24"/>
          <w:lang w:val="en-US"/>
        </w:rPr>
        <w:t xml:space="preserve">In addition to asset types, the dataset contains a wide range of sensor measurements used to monitor equipment condition. Figure </w:t>
      </w:r>
      <w:hyperlink r:id="R9d5ef9b98ccb464f">
        <w:r w:rsidRPr="6E962E23" w:rsidR="532ED186">
          <w:rPr>
            <w:rStyle w:val="Hyperlink"/>
            <w:rFonts w:ascii="Aptos" w:hAnsi="Aptos" w:eastAsia="Aptos" w:cs="Aptos"/>
            <w:noProof w:val="0"/>
            <w:color w:val="156082" w:themeColor="accent1" w:themeTint="FF" w:themeShade="FF"/>
            <w:sz w:val="24"/>
            <w:szCs w:val="24"/>
            <w:lang w:val="en-US"/>
          </w:rPr>
          <w:t>2</w:t>
        </w:r>
      </w:hyperlink>
      <w:r w:rsidRPr="6E962E23" w:rsidR="532ED186">
        <w:rPr>
          <w:rFonts w:ascii="Aptos" w:hAnsi="Aptos" w:eastAsia="Aptos" w:cs="Aptos"/>
          <w:noProof w:val="0"/>
          <w:sz w:val="24"/>
          <w:szCs w:val="24"/>
          <w:lang w:val="en-US"/>
        </w:rPr>
        <w:t xml:space="preserve"> shows the most frequently occurring sensors in the dataset. The most common sensors include vibration, oil debris, speed, temperature, and power.</w:t>
      </w:r>
    </w:p>
    <w:p w:rsidR="532ED186" w:rsidP="6E962E23" w:rsidRDefault="532ED186" w14:paraId="647F536D" w14:textId="69E0927C">
      <w:pPr>
        <w:spacing w:before="180" w:beforeAutospacing="off" w:after="180" w:afterAutospacing="off"/>
      </w:pPr>
      <w:r w:rsidRPr="6E962E23" w:rsidR="532ED186">
        <w:rPr>
          <w:rFonts w:ascii="Aptos" w:hAnsi="Aptos" w:eastAsia="Aptos" w:cs="Aptos"/>
          <w:noProof w:val="0"/>
          <w:sz w:val="24"/>
          <w:szCs w:val="24"/>
          <w:lang w:val="en-US"/>
        </w:rPr>
        <w:t>Among these sensors, vibration measurements appear substantially more frequently than any other sensor type. This pattern aligns with common industrial condition monitoring practices, as vibration analysis is widely used to detect mechanical faults in rotating machinery such as motors, compressors, pumps, and turbines.</w:t>
      </w:r>
    </w:p>
    <w:p w:rsidR="532ED186" w:rsidP="6E962E23" w:rsidRDefault="532ED186" w14:paraId="057805D9" w14:textId="577F5C2B">
      <w:pPr>
        <w:spacing w:before="180" w:beforeAutospacing="off" w:after="180" w:afterAutospacing="off"/>
      </w:pPr>
      <w:r w:rsidRPr="6E962E23" w:rsidR="532ED186">
        <w:rPr>
          <w:rFonts w:ascii="Aptos" w:hAnsi="Aptos" w:eastAsia="Aptos" w:cs="Aptos"/>
          <w:noProof w:val="0"/>
          <w:sz w:val="24"/>
          <w:szCs w:val="24"/>
          <w:lang w:val="en-US"/>
        </w:rPr>
        <w:t>The sensor types represented in the dataset span several diagnostic categories. Mechanical diagnostics include measurements such as vibration, rotational speed, and coast down time. Thermal and operational monitoring includes temperature, air flow, and pressure or vacuum measurements. Lubrication and wear monitoring involves sensors such as oil debris detection, oil leakage monitoring, and oil consumption measurements. Electrical monitoring includes measurements such as current, voltage, and electrical resistance.</w:t>
      </w:r>
    </w:p>
    <w:p w:rsidR="532ED186" w:rsidP="6E962E23" w:rsidRDefault="532ED186" w14:paraId="41EE0C71" w14:textId="47E9C906">
      <w:pPr>
        <w:spacing w:before="180" w:beforeAutospacing="off" w:after="180" w:afterAutospacing="off"/>
      </w:pPr>
      <w:r w:rsidRPr="6E962E23" w:rsidR="532ED186">
        <w:rPr>
          <w:rFonts w:ascii="Aptos" w:hAnsi="Aptos" w:eastAsia="Aptos" w:cs="Aptos"/>
          <w:noProof w:val="0"/>
          <w:sz w:val="24"/>
          <w:szCs w:val="24"/>
          <w:lang w:val="en-US"/>
        </w:rPr>
        <w:t>The presence of sensors from multiple diagnostic categories indicates that the dataset captures a diverse set of monitoring approaches reflecting different physical mechanisms that may indicate equipment failure.</w:t>
      </w:r>
    </w:p>
    <w:p w:rsidR="532ED186" w:rsidP="6E962E23" w:rsidRDefault="532ED186" w14:paraId="2CC2FDCB" w14:textId="5D24D95C">
      <w:pPr>
        <w:spacing w:before="0" w:beforeAutospacing="off" w:after="200" w:afterAutospacing="off"/>
      </w:pPr>
      <w:r w:rsidR="532ED186">
        <w:drawing>
          <wp:inline wp14:editId="0E67C1DF" wp14:anchorId="4B6B96C5">
            <wp:extent cx="3600450" cy="1781175"/>
            <wp:effectExtent l="0" t="0" r="0" b="0"/>
            <wp:docPr id="12223760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2376095" name="Picture 1222376095"/>
                    <pic:cNvPicPr/>
                  </pic:nvPicPr>
                  <pic:blipFill>
                    <a:blip xmlns:r="http://schemas.openxmlformats.org/officeDocument/2006/relationships" r:embed="rId1167174946">
                      <a:extLst>
                        <a:ext uri="{28A0092B-C50C-407E-A947-70E740481C1C}">
                          <a14:useLocalDpi xmlns:a14="http://schemas.microsoft.com/office/drawing/2010/main"/>
                        </a:ext>
                      </a:extLst>
                    </a:blip>
                    <a:stretch>
                      <a:fillRect/>
                    </a:stretch>
                  </pic:blipFill>
                  <pic:spPr>
                    <a:xfrm>
                      <a:off x="0" y="0"/>
                      <a:ext cx="3600450" cy="1781175"/>
                    </a:xfrm>
                    <a:prstGeom prst="rect">
                      <a:avLst/>
                    </a:prstGeom>
                  </pic:spPr>
                </pic:pic>
              </a:graphicData>
            </a:graphic>
          </wp:inline>
        </w:drawing>
      </w:r>
    </w:p>
    <w:p w:rsidR="532ED186" w:rsidP="6E962E23" w:rsidRDefault="532ED186" w14:paraId="2076CB62" w14:textId="1863B7A9">
      <w:pPr>
        <w:spacing w:before="0" w:beforeAutospacing="off" w:after="120" w:afterAutospacing="off"/>
      </w:pPr>
      <w:r w:rsidRPr="6E962E23" w:rsidR="532ED186">
        <w:rPr>
          <w:rFonts w:ascii="Aptos" w:hAnsi="Aptos" w:eastAsia="Aptos" w:cs="Aptos"/>
          <w:i w:val="1"/>
          <w:iCs w:val="1"/>
          <w:noProof w:val="0"/>
          <w:sz w:val="24"/>
          <w:szCs w:val="24"/>
          <w:lang w:val="en-US"/>
        </w:rPr>
        <w:t>Most frequently occurring sensors in the dataset.</w:t>
      </w:r>
    </w:p>
    <w:p w:rsidR="532ED186" w:rsidP="6E962E23" w:rsidRDefault="532ED186" w14:paraId="289E4A20" w14:textId="55EB856A">
      <w:pPr>
        <w:pStyle w:val="Heading2"/>
        <w:spacing w:before="160" w:beforeAutospacing="off" w:after="80" w:afterAutospacing="off"/>
      </w:pPr>
      <w:r w:rsidRPr="6E962E23" w:rsidR="532ED186">
        <w:rPr>
          <w:rFonts w:ascii="Aptos Display" w:hAnsi="Aptos Display" w:eastAsia="Aptos Display" w:cs="Aptos Display"/>
          <w:b w:val="0"/>
          <w:bCs w:val="0"/>
          <w:noProof w:val="0"/>
          <w:color w:val="0F4761" w:themeColor="accent1" w:themeTint="FF" w:themeShade="BF"/>
          <w:sz w:val="32"/>
          <w:szCs w:val="32"/>
          <w:lang w:val="en-US"/>
        </w:rPr>
        <w:t>Sensor Presence Across Assets</w:t>
      </w:r>
    </w:p>
    <w:p w:rsidR="532ED186" w:rsidP="6E962E23" w:rsidRDefault="532ED186" w14:paraId="724B8576" w14:textId="35F902F5">
      <w:pPr>
        <w:spacing w:before="180" w:beforeAutospacing="off" w:after="180" w:afterAutospacing="off"/>
      </w:pPr>
      <w:r w:rsidRPr="6E962E23" w:rsidR="532ED186">
        <w:rPr>
          <w:rFonts w:ascii="Aptos" w:hAnsi="Aptos" w:eastAsia="Aptos" w:cs="Aptos"/>
          <w:noProof w:val="0"/>
          <w:sz w:val="24"/>
          <w:szCs w:val="24"/>
          <w:lang w:val="en-US"/>
        </w:rPr>
        <w:t xml:space="preserve">The relationship between sensors and assets can be visualized using the heatmap shown in Figure </w:t>
      </w:r>
      <w:hyperlink r:id="Rc8c3ffccb5524233">
        <w:r w:rsidRPr="6E962E23" w:rsidR="532ED186">
          <w:rPr>
            <w:rStyle w:val="Hyperlink"/>
            <w:rFonts w:ascii="Aptos" w:hAnsi="Aptos" w:eastAsia="Aptos" w:cs="Aptos"/>
            <w:noProof w:val="0"/>
            <w:color w:val="156082" w:themeColor="accent1" w:themeTint="FF" w:themeShade="FF"/>
            <w:sz w:val="24"/>
            <w:szCs w:val="24"/>
            <w:lang w:val="en-US"/>
          </w:rPr>
          <w:t>3</w:t>
        </w:r>
      </w:hyperlink>
      <w:r w:rsidRPr="6E962E23" w:rsidR="532ED186">
        <w:rPr>
          <w:rFonts w:ascii="Aptos" w:hAnsi="Aptos" w:eastAsia="Aptos" w:cs="Aptos"/>
          <w:noProof w:val="0"/>
          <w:sz w:val="24"/>
          <w:szCs w:val="24"/>
          <w:lang w:val="en-US"/>
        </w:rPr>
        <w:t>. In this figure, each row represents an asset type and each column represents a sensor. A filled cell indicates that the corresponding sensor appears in questions related to that asset.</w:t>
      </w:r>
    </w:p>
    <w:p w:rsidR="532ED186" w:rsidP="6E962E23" w:rsidRDefault="532ED186" w14:paraId="68932B73" w14:textId="591E9FAA">
      <w:pPr>
        <w:spacing w:before="180" w:beforeAutospacing="off" w:after="180" w:afterAutospacing="off"/>
      </w:pPr>
      <w:r w:rsidRPr="6E962E23" w:rsidR="532ED186">
        <w:rPr>
          <w:rFonts w:ascii="Aptos" w:hAnsi="Aptos" w:eastAsia="Aptos" w:cs="Aptos"/>
          <w:noProof w:val="0"/>
          <w:sz w:val="24"/>
          <w:szCs w:val="24"/>
          <w:lang w:val="en-US"/>
        </w:rPr>
        <w:t>Several clear patterns emerge from this visualization. Some sensors appear across nearly all asset types. These include vibration, temperature, speed, and power measurements. Such sensors provide general operational information and are commonly used across a wide range of industrial equipment.</w:t>
      </w:r>
    </w:p>
    <w:p w:rsidR="532ED186" w:rsidP="6E962E23" w:rsidRDefault="532ED186" w14:paraId="6EEABD71" w14:textId="70395A26">
      <w:pPr>
        <w:spacing w:before="180" w:beforeAutospacing="off" w:after="180" w:afterAutospacing="off"/>
      </w:pPr>
      <w:r w:rsidRPr="6E962E23" w:rsidR="532ED186">
        <w:rPr>
          <w:rFonts w:ascii="Aptos" w:hAnsi="Aptos" w:eastAsia="Aptos" w:cs="Aptos"/>
          <w:noProof w:val="0"/>
          <w:sz w:val="24"/>
          <w:szCs w:val="24"/>
          <w:lang w:val="en-US"/>
        </w:rPr>
        <w:t>Other sensors are strongly associated with particular asset categories. For example, fuel-related measurements such as fuel pressure and fuel flow appear primarily in combustion-based assets, including aero gas turbines, industrial gas turbines, and reciprocating internal combustion engines. These sensors are used to monitor fuel delivery and combustion efficiency.</w:t>
      </w:r>
    </w:p>
    <w:p w:rsidR="532ED186" w:rsidP="6E962E23" w:rsidRDefault="532ED186" w14:paraId="486AC8DD" w14:textId="43B5602F">
      <w:pPr>
        <w:spacing w:before="180" w:beforeAutospacing="off" w:after="180" w:afterAutospacing="off"/>
      </w:pPr>
      <w:r w:rsidRPr="6E962E23" w:rsidR="532ED186">
        <w:rPr>
          <w:rFonts w:ascii="Aptos" w:hAnsi="Aptos" w:eastAsia="Aptos" w:cs="Aptos"/>
          <w:noProof w:val="0"/>
          <w:sz w:val="24"/>
          <w:szCs w:val="24"/>
          <w:lang w:val="en-US"/>
        </w:rPr>
        <w:t>Specialized electrical diagnostic methods appear mainly in high-voltage equipment such as power transformers and electric generators. Examples include partial discharge monitoring, voltage measurements, and dielectric insulation diagnostic methods such as DFR/PDC/RVM. These techniques are used to detect insulation degradation and electrical faults.</w:t>
      </w:r>
    </w:p>
    <w:p w:rsidR="532ED186" w:rsidP="6E962E23" w:rsidRDefault="532ED186" w14:paraId="7D42DDE8" w14:textId="0C1E9287">
      <w:pPr>
        <w:spacing w:before="180" w:beforeAutospacing="off" w:after="180" w:afterAutospacing="off"/>
      </w:pPr>
      <w:r w:rsidRPr="6E962E23" w:rsidR="532ED186">
        <w:rPr>
          <w:rFonts w:ascii="Aptos" w:hAnsi="Aptos" w:eastAsia="Aptos" w:cs="Aptos"/>
          <w:noProof w:val="0"/>
          <w:sz w:val="24"/>
          <w:szCs w:val="24"/>
          <w:lang w:val="en-US"/>
        </w:rPr>
        <w:t>Sensors associated with lubrication systems appear primarily in rotating machinery. Measurements such as oil debris detection, oil leakage monitoring, and oil consumption are common in compressors, turbines, and internal combustion engines, where lubrication system performance is closely tied to mechanical wear and failure.</w:t>
      </w:r>
    </w:p>
    <w:p w:rsidR="532ED186" w:rsidP="6E962E23" w:rsidRDefault="532ED186" w14:paraId="1681E3C2" w14:textId="602790FF">
      <w:pPr>
        <w:spacing w:before="180" w:beforeAutospacing="off" w:after="180" w:afterAutospacing="off"/>
      </w:pPr>
      <w:r w:rsidRPr="6E962E23" w:rsidR="532ED186">
        <w:rPr>
          <w:rFonts w:ascii="Aptos" w:hAnsi="Aptos" w:eastAsia="Aptos" w:cs="Aptos"/>
          <w:noProof w:val="0"/>
          <w:sz w:val="24"/>
          <w:szCs w:val="24"/>
          <w:lang w:val="en-US"/>
        </w:rPr>
        <w:t>Overall, the heatmap illustrates that while some sensors are broadly applicable across many asset types, many diagnostic measurements are strongly asset-specific.</w:t>
      </w:r>
    </w:p>
    <w:p w:rsidR="532ED186" w:rsidP="6E962E23" w:rsidRDefault="532ED186" w14:paraId="091626D8" w14:textId="433FFB78">
      <w:pPr>
        <w:spacing w:before="0" w:beforeAutospacing="off" w:after="200" w:afterAutospacing="off"/>
      </w:pPr>
      <w:r w:rsidR="532ED186">
        <w:drawing>
          <wp:inline wp14:editId="264A61F5" wp14:anchorId="55290E23">
            <wp:extent cx="4000500" cy="1695450"/>
            <wp:effectExtent l="0" t="0" r="0" b="0"/>
            <wp:docPr id="5306164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0616487" name="Picture 530616487"/>
                    <pic:cNvPicPr/>
                  </pic:nvPicPr>
                  <pic:blipFill>
                    <a:blip xmlns:r="http://schemas.openxmlformats.org/officeDocument/2006/relationships" r:embed="rId1115163216">
                      <a:extLst>
                        <a:ext uri="{28A0092B-C50C-407E-A947-70E740481C1C}">
                          <a14:useLocalDpi xmlns:a14="http://schemas.microsoft.com/office/drawing/2010/main"/>
                        </a:ext>
                      </a:extLst>
                    </a:blip>
                    <a:stretch>
                      <a:fillRect/>
                    </a:stretch>
                  </pic:blipFill>
                  <pic:spPr>
                    <a:xfrm>
                      <a:off x="0" y="0"/>
                      <a:ext cx="4000500" cy="1695450"/>
                    </a:xfrm>
                    <a:prstGeom prst="rect">
                      <a:avLst/>
                    </a:prstGeom>
                  </pic:spPr>
                </pic:pic>
              </a:graphicData>
            </a:graphic>
          </wp:inline>
        </w:drawing>
      </w:r>
    </w:p>
    <w:p w:rsidR="532ED186" w:rsidP="6E962E23" w:rsidRDefault="532ED186" w14:paraId="6DD14DFF" w14:textId="32C77EB5">
      <w:pPr>
        <w:spacing w:before="0" w:beforeAutospacing="off" w:after="120" w:afterAutospacing="off"/>
      </w:pPr>
      <w:r w:rsidRPr="6E962E23" w:rsidR="532ED186">
        <w:rPr>
          <w:rFonts w:ascii="Aptos" w:hAnsi="Aptos" w:eastAsia="Aptos" w:cs="Aptos"/>
          <w:i w:val="1"/>
          <w:iCs w:val="1"/>
          <w:noProof w:val="0"/>
          <w:sz w:val="24"/>
          <w:szCs w:val="24"/>
          <w:lang w:val="en-US"/>
        </w:rPr>
        <w:t>Sensor presence across asset types.</w:t>
      </w:r>
    </w:p>
    <w:p w:rsidR="532ED186" w:rsidP="6E962E23" w:rsidRDefault="532ED186" w14:paraId="37027755" w14:textId="61B9A912">
      <w:pPr>
        <w:pStyle w:val="Heading2"/>
        <w:spacing w:before="160" w:beforeAutospacing="off" w:after="80" w:afterAutospacing="off"/>
      </w:pPr>
      <w:r w:rsidRPr="6E962E23" w:rsidR="532ED186">
        <w:rPr>
          <w:rFonts w:ascii="Aptos Display" w:hAnsi="Aptos Display" w:eastAsia="Aptos Display" w:cs="Aptos Display"/>
          <w:b w:val="0"/>
          <w:bCs w:val="0"/>
          <w:noProof w:val="0"/>
          <w:color w:val="0F4761" w:themeColor="accent1" w:themeTint="FF" w:themeShade="BF"/>
          <w:sz w:val="32"/>
          <w:szCs w:val="32"/>
          <w:lang w:val="en-US"/>
        </w:rPr>
        <w:t>Number of Answer Choices per Question</w:t>
      </w:r>
    </w:p>
    <w:p w:rsidR="532ED186" w:rsidP="6E962E23" w:rsidRDefault="532ED186" w14:paraId="03FB5343" w14:textId="6F0CCC1C">
      <w:pPr>
        <w:spacing w:before="180" w:beforeAutospacing="off" w:after="180" w:afterAutospacing="off"/>
      </w:pPr>
      <w:r w:rsidRPr="6E962E23" w:rsidR="532ED186">
        <w:rPr>
          <w:rFonts w:ascii="Aptos" w:hAnsi="Aptos" w:eastAsia="Aptos" w:cs="Aptos"/>
          <w:noProof w:val="0"/>
          <w:sz w:val="24"/>
          <w:szCs w:val="24"/>
          <w:lang w:val="en-US"/>
        </w:rPr>
        <w:t xml:space="preserve">In addition to understanding the relationships between assets and sensors, it is also important to examine the structural properties of the questions themselves. The number of candidate answer options varies across questions in the single-answer portion of the dataset. Figure </w:t>
      </w:r>
      <w:hyperlink r:id="R8fa60454c2fd41de">
        <w:r w:rsidRPr="6E962E23" w:rsidR="532ED186">
          <w:rPr>
            <w:rStyle w:val="Hyperlink"/>
            <w:rFonts w:ascii="Aptos" w:hAnsi="Aptos" w:eastAsia="Aptos" w:cs="Aptos"/>
            <w:noProof w:val="0"/>
            <w:color w:val="156082" w:themeColor="accent1" w:themeTint="FF" w:themeShade="FF"/>
            <w:sz w:val="24"/>
            <w:szCs w:val="24"/>
            <w:lang w:val="en-US"/>
          </w:rPr>
          <w:t>4</w:t>
        </w:r>
      </w:hyperlink>
      <w:r w:rsidRPr="6E962E23" w:rsidR="532ED186">
        <w:rPr>
          <w:rFonts w:ascii="Aptos" w:hAnsi="Aptos" w:eastAsia="Aptos" w:cs="Aptos"/>
          <w:noProof w:val="0"/>
          <w:sz w:val="24"/>
          <w:szCs w:val="24"/>
          <w:lang w:val="en-US"/>
        </w:rPr>
        <w:t xml:space="preserve"> shows the distribution of the number of answer choices per question.</w:t>
      </w:r>
    </w:p>
    <w:p w:rsidR="532ED186" w:rsidP="6E962E23" w:rsidRDefault="532ED186" w14:paraId="0F6A8A62" w14:textId="515AC820">
      <w:pPr>
        <w:spacing w:before="180" w:beforeAutospacing="off" w:after="180" w:afterAutospacing="off"/>
      </w:pPr>
      <w:r w:rsidRPr="6E962E23" w:rsidR="532ED186">
        <w:rPr>
          <w:rFonts w:ascii="Aptos" w:hAnsi="Aptos" w:eastAsia="Aptos" w:cs="Aptos"/>
          <w:noProof w:val="0"/>
          <w:sz w:val="24"/>
          <w:szCs w:val="24"/>
          <w:lang w:val="en-US"/>
        </w:rPr>
        <w:t>Most questions contain five candidate options, although a significant number of questions contain fewer choices, including questions with two, three, or four options. This variability influences the difficulty of the prediction task. Questions with fewer answer options present fewer distractors, making the correct answer easier to identify, whereas questions with five options require selecting the correct answer among a larger set of alternatives.</w:t>
      </w:r>
    </w:p>
    <w:p w:rsidR="532ED186" w:rsidP="6E962E23" w:rsidRDefault="532ED186" w14:paraId="149630D5" w14:textId="620014D2">
      <w:pPr>
        <w:spacing w:before="180" w:beforeAutospacing="off" w:after="180" w:afterAutospacing="off"/>
      </w:pPr>
      <w:r w:rsidRPr="6E962E23" w:rsidR="532ED186">
        <w:rPr>
          <w:rFonts w:ascii="Aptos" w:hAnsi="Aptos" w:eastAsia="Aptos" w:cs="Aptos"/>
          <w:noProof w:val="0"/>
          <w:sz w:val="24"/>
          <w:szCs w:val="24"/>
          <w:lang w:val="en-US"/>
        </w:rPr>
        <w:t>Because machine learning models typically require consistent input dimensions, the preprocessing pipeline standardizes the number of candidate answers. Option lists are padded when necessary so that each question contains up to five candidate options. This allows batches of question–option pairs to be processed efficiently during model training.</w:t>
      </w:r>
    </w:p>
    <w:p w:rsidR="532ED186" w:rsidP="6E962E23" w:rsidRDefault="532ED186" w14:paraId="1598D03A" w14:textId="6CB82169">
      <w:pPr>
        <w:spacing w:before="0" w:beforeAutospacing="off" w:after="200" w:afterAutospacing="off"/>
      </w:pPr>
      <w:r w:rsidR="532ED186">
        <w:drawing>
          <wp:inline wp14:editId="7EAD4D3D" wp14:anchorId="71E2C743">
            <wp:extent cx="3200400" cy="2114550"/>
            <wp:effectExtent l="0" t="0" r="0" b="0"/>
            <wp:docPr id="3454215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5421506" name="Picture 345421506"/>
                    <pic:cNvPicPr/>
                  </pic:nvPicPr>
                  <pic:blipFill>
                    <a:blip xmlns:r="http://schemas.openxmlformats.org/officeDocument/2006/relationships" r:embed="rId874843386">
                      <a:extLst>
                        <a:ext uri="{28A0092B-C50C-407E-A947-70E740481C1C}">
                          <a14:useLocalDpi xmlns:a14="http://schemas.microsoft.com/office/drawing/2010/main"/>
                        </a:ext>
                      </a:extLst>
                    </a:blip>
                    <a:stretch>
                      <a:fillRect/>
                    </a:stretch>
                  </pic:blipFill>
                  <pic:spPr>
                    <a:xfrm>
                      <a:off x="0" y="0"/>
                      <a:ext cx="3200400" cy="2114550"/>
                    </a:xfrm>
                    <a:prstGeom prst="rect">
                      <a:avLst/>
                    </a:prstGeom>
                  </pic:spPr>
                </pic:pic>
              </a:graphicData>
            </a:graphic>
          </wp:inline>
        </w:drawing>
      </w:r>
    </w:p>
    <w:p w:rsidR="532ED186" w:rsidP="6E962E23" w:rsidRDefault="532ED186" w14:paraId="538EBBB3" w14:textId="58DB4714">
      <w:pPr>
        <w:spacing w:before="0" w:beforeAutospacing="off" w:after="120" w:afterAutospacing="off"/>
      </w:pPr>
      <w:r w:rsidRPr="6E962E23" w:rsidR="532ED186">
        <w:rPr>
          <w:rFonts w:ascii="Aptos" w:hAnsi="Aptos" w:eastAsia="Aptos" w:cs="Aptos"/>
          <w:i w:val="1"/>
          <w:iCs w:val="1"/>
          <w:noProof w:val="0"/>
          <w:sz w:val="24"/>
          <w:szCs w:val="24"/>
          <w:lang w:val="en-US"/>
        </w:rPr>
        <w:t>Distribution of the number of answer choices per single-answer question. Most questions contain five options, though a substantial portion contain fewer choices.</w:t>
      </w:r>
    </w:p>
    <w:p w:rsidR="532ED186" w:rsidP="6E962E23" w:rsidRDefault="532ED186" w14:paraId="467BFE4E" w14:textId="695F4EC7">
      <w:pPr>
        <w:pStyle w:val="Heading2"/>
        <w:spacing w:before="160" w:beforeAutospacing="off" w:after="80" w:afterAutospacing="off"/>
      </w:pPr>
      <w:r w:rsidRPr="6E962E23" w:rsidR="532ED186">
        <w:rPr>
          <w:rFonts w:ascii="Aptos Display" w:hAnsi="Aptos Display" w:eastAsia="Aptos Display" w:cs="Aptos Display"/>
          <w:b w:val="0"/>
          <w:bCs w:val="0"/>
          <w:noProof w:val="0"/>
          <w:color w:val="0F4761" w:themeColor="accent1" w:themeTint="FF" w:themeShade="BF"/>
          <w:sz w:val="32"/>
          <w:szCs w:val="32"/>
          <w:lang w:val="en-US"/>
        </w:rPr>
        <w:t>Question Characteristics and Label Structure</w:t>
      </w:r>
    </w:p>
    <w:p w:rsidR="532ED186" w:rsidP="6E962E23" w:rsidRDefault="532ED186" w14:paraId="3A909C2F" w14:textId="76C45F28">
      <w:pPr>
        <w:spacing w:before="180" w:beforeAutospacing="off" w:after="180" w:afterAutospacing="off"/>
      </w:pPr>
      <w:r w:rsidRPr="6E962E23" w:rsidR="532ED186">
        <w:rPr>
          <w:rFonts w:ascii="Aptos" w:hAnsi="Aptos" w:eastAsia="Aptos" w:cs="Aptos"/>
          <w:noProof w:val="0"/>
          <w:sz w:val="24"/>
          <w:szCs w:val="24"/>
          <w:lang w:val="en-US"/>
        </w:rPr>
        <w:t>Inspection of the dataset also reveals several structural properties of the questions and labels themselves. The dataset is divided into two related tasks. The first consists of single-answer multiple-choice questions in which exactly one option is correct. The second consists of multi-answer questions in which multiple options may be correct simultaneously. These formats correspond to two different prediction problems, namely single-label classification and multi-label classification.</w:t>
      </w:r>
    </w:p>
    <w:p w:rsidR="532ED186" w:rsidP="6E962E23" w:rsidRDefault="532ED186" w14:paraId="5CE0F750" w14:textId="4D56B2BE">
      <w:pPr>
        <w:spacing w:before="180" w:beforeAutospacing="off" w:after="180" w:afterAutospacing="off"/>
      </w:pPr>
      <w:r w:rsidRPr="6E962E23" w:rsidR="532ED186">
        <w:rPr>
          <w:rFonts w:ascii="Aptos" w:hAnsi="Aptos" w:eastAsia="Aptos" w:cs="Aptos"/>
          <w:noProof w:val="0"/>
          <w:sz w:val="24"/>
          <w:szCs w:val="24"/>
          <w:lang w:val="en-US"/>
        </w:rPr>
        <w:t>Another characteristic of the dataset is the imbalance between relevant and irrelevant sensor relationships. In most diagnostic scenarios only a small subset of available sensors is useful for identifying a specific failure mode, while many other sensors provide little or no useful information about that failure. As a result, the dataset naturally contains more examples labeled as irrelevant than relevant. Such imbalance is common in machine learning datasets and can influence model behavior if not accounted for during model design and evaluation .</w:t>
      </w:r>
    </w:p>
    <w:p w:rsidR="532ED186" w:rsidP="6E962E23" w:rsidRDefault="532ED186" w14:paraId="1479CF31" w14:textId="71FA1C3D">
      <w:pPr>
        <w:spacing w:before="180" w:beforeAutospacing="off" w:after="180" w:afterAutospacing="off"/>
      </w:pPr>
      <w:r w:rsidRPr="6E962E23" w:rsidR="532ED186">
        <w:rPr>
          <w:rFonts w:ascii="Aptos" w:hAnsi="Aptos" w:eastAsia="Aptos" w:cs="Aptos"/>
          <w:noProof w:val="0"/>
          <w:sz w:val="24"/>
          <w:szCs w:val="24"/>
          <w:lang w:val="en-US"/>
        </w:rPr>
        <w:t>The wording of the questions also introduces an additional layer of difficulty. Many questions rely on linguistic negation, using phrases such as “not”, “does not”, or “which sensor is not relevant”. Answering these questions correctly requires the model to reason not only about which sensors are associated with a particular failure mode, but also about which sensors are unrelated to that failure. This requires distinguishing both positive and negative diagnostic relationships within the same industrial context.</w:t>
      </w:r>
    </w:p>
    <w:p w:rsidR="532ED186" w:rsidP="6E962E23" w:rsidRDefault="532ED186" w14:paraId="18907C6B" w14:textId="6FE047AB">
      <w:pPr>
        <w:spacing w:before="180" w:beforeAutospacing="off" w:after="180" w:afterAutospacing="off"/>
      </w:pPr>
      <w:r w:rsidRPr="6E962E23" w:rsidR="532ED186">
        <w:rPr>
          <w:rFonts w:ascii="Aptos" w:hAnsi="Aptos" w:eastAsia="Aptos" w:cs="Aptos"/>
          <w:noProof w:val="0"/>
          <w:sz w:val="24"/>
          <w:szCs w:val="24"/>
          <w:lang w:val="en-US"/>
        </w:rPr>
        <w:t>Finally, prior work has shown that machine learning models answering multiple-choice questions may exhibit positional selection bias, meaning that certain answer positions may be chosen more frequently independent of their content . Recognizing these potential biases is important when interpreting model performance on multiple-choice datasets.</w:t>
      </w:r>
    </w:p>
    <w:p w:rsidR="532ED186" w:rsidP="6E962E23" w:rsidRDefault="532ED186" w14:paraId="7D6B16D3" w14:textId="0680D69A">
      <w:pPr>
        <w:spacing w:before="180" w:beforeAutospacing="off" w:after="180" w:afterAutospacing="off"/>
      </w:pPr>
      <w:r w:rsidRPr="6E962E23" w:rsidR="532ED186">
        <w:rPr>
          <w:rFonts w:ascii="Aptos" w:hAnsi="Aptos" w:eastAsia="Aptos" w:cs="Aptos"/>
          <w:noProof w:val="0"/>
          <w:sz w:val="24"/>
          <w:szCs w:val="24"/>
          <w:lang w:val="en-US"/>
        </w:rPr>
        <w:t>The exploratory analysis therefore highlights several structural properties of the dataset that influence the difficulty of the prediction task, including asset-specific sensor relationships, varying numbers of answer options, label imbalance between relevant and irrelevant sensors, and the use of negation in question phrasing.</w:t>
      </w:r>
    </w:p>
    <w:p w:rsidR="532ED186" w:rsidP="6E962E23" w:rsidRDefault="532ED186" w14:paraId="311E69C7" w14:textId="4012D503">
      <w:pPr>
        <w:spacing w:before="180" w:beforeAutospacing="off" w:after="180" w:afterAutospacing="off"/>
      </w:pPr>
      <w:r w:rsidRPr="6E962E23" w:rsidR="532ED186">
        <w:rPr>
          <w:rFonts w:ascii="Aptos" w:hAnsi="Aptos" w:eastAsia="Aptos" w:cs="Aptos"/>
          <w:noProof w:val="0"/>
          <w:sz w:val="24"/>
          <w:szCs w:val="24"/>
          <w:lang w:val="en-US"/>
        </w:rPr>
        <w:t>The exploratory analysis revealed that sensor relevance depends strongly on asset type, which motivated including asset context in the model inputs. In addition, the dataset contains questions with varying numbers of answer choices, which required standardizing inputs by padding option lists to a fixed length. However, the primary modeling decisions were driven by the structure of the prediction tasks themselves, which consist of both single-answer and multi-answer questions.</w:t>
      </w:r>
    </w:p>
    <w:p w:rsidR="532ED186" w:rsidP="6E962E23" w:rsidRDefault="532ED186" w14:paraId="302D0F66" w14:textId="6A598246">
      <w:pPr>
        <w:pStyle w:val="Heading1"/>
        <w:spacing w:before="360" w:beforeAutospacing="off" w:after="80" w:afterAutospacing="off"/>
      </w:pPr>
      <w:r w:rsidRPr="6E962E23" w:rsidR="532ED186">
        <w:rPr>
          <w:rFonts w:ascii="Aptos Display" w:hAnsi="Aptos Display" w:eastAsia="Aptos Display" w:cs="Aptos Display"/>
          <w:b w:val="0"/>
          <w:bCs w:val="0"/>
          <w:noProof w:val="0"/>
          <w:color w:val="0F4761" w:themeColor="accent1" w:themeTint="FF" w:themeShade="BF"/>
          <w:sz w:val="40"/>
          <w:szCs w:val="40"/>
          <w:lang w:val="en-US"/>
        </w:rPr>
        <w:t>Modeling Approach</w:t>
      </w:r>
    </w:p>
    <w:p w:rsidR="532ED186" w:rsidP="6E962E23" w:rsidRDefault="532ED186" w14:paraId="36C31EB5" w14:textId="2A5CC24A">
      <w:pPr>
        <w:spacing w:before="180" w:beforeAutospacing="off" w:after="180" w:afterAutospacing="off"/>
      </w:pPr>
      <w:r w:rsidRPr="6E962E23" w:rsidR="532ED186">
        <w:rPr>
          <w:rFonts w:ascii="Aptos" w:hAnsi="Aptos" w:eastAsia="Aptos" w:cs="Aptos"/>
          <w:noProof w:val="0"/>
          <w:sz w:val="24"/>
          <w:szCs w:val="24"/>
          <w:lang w:val="en-US"/>
        </w:rPr>
        <w:t>The modeling approach was designed to reflect the structure of the dataset identified during exploratory analysis. In particular, the dataset contains two distinct prediction tasks: single-answer questions, in which exactly one option is correct, and multi-answer questions, in which multiple options may be correct. We initially explored a single-model architecture for both tasks, but found that the differing prediction requirements made this approach difficult to train effectively. As a result, the final design separates the problem into two models: one optimized for single-answer selection and a second designed for multi-answer verification.</w:t>
      </w:r>
    </w:p>
    <w:p w:rsidR="532ED186" w:rsidP="6E962E23" w:rsidRDefault="532ED186" w14:paraId="417CEF2F" w14:textId="1EBAB5A4">
      <w:pPr>
        <w:spacing w:before="180" w:beforeAutospacing="off" w:after="180" w:afterAutospacing="off"/>
      </w:pPr>
      <w:r w:rsidRPr="6E962E23" w:rsidR="532ED186">
        <w:rPr>
          <w:rFonts w:ascii="Aptos" w:hAnsi="Aptos" w:eastAsia="Aptos" w:cs="Aptos"/>
          <w:noProof w:val="0"/>
          <w:sz w:val="24"/>
          <w:szCs w:val="24"/>
          <w:lang w:val="en-US"/>
        </w:rPr>
        <w:t>Both models are based on the pretrained DistilBERT transformer model (</w:t>
      </w:r>
      <w:r w:rsidRPr="6E962E23" w:rsidR="532ED186">
        <w:rPr>
          <w:rFonts w:ascii="Consolas" w:hAnsi="Consolas" w:eastAsia="Consolas" w:cs="Consolas"/>
          <w:noProof w:val="0"/>
          <w:sz w:val="22"/>
          <w:szCs w:val="22"/>
          <w:lang w:val="en-US"/>
        </w:rPr>
        <w:t>distilbert-base-uncased</w:t>
      </w:r>
      <w:r w:rsidRPr="6E962E23" w:rsidR="532ED186">
        <w:rPr>
          <w:rFonts w:ascii="Aptos" w:hAnsi="Aptos" w:eastAsia="Aptos" w:cs="Aptos"/>
          <w:noProof w:val="0"/>
          <w:sz w:val="24"/>
          <w:szCs w:val="24"/>
          <w:lang w:val="en-US"/>
        </w:rPr>
        <w:t>), which provides contextual language representations for the question text and the candidate answer options. To reduce training time and avoid overfitting on the relatively small dataset, the parameters of the pretrained transformer encoder were frozen during training, and only the final classification layer was trained. This strategy allows the model to leverage pretrained language representations while limiting the number of trainable parameters.</w:t>
      </w:r>
    </w:p>
    <w:p w:rsidR="532ED186" w:rsidP="6E962E23" w:rsidRDefault="532ED186" w14:paraId="4E5B4F24" w14:textId="04A285EC">
      <w:pPr>
        <w:spacing w:before="180" w:beforeAutospacing="off" w:after="180" w:afterAutospacing="off"/>
      </w:pPr>
      <w:r w:rsidRPr="6E962E23" w:rsidR="532ED186">
        <w:rPr>
          <w:rFonts w:ascii="Aptos" w:hAnsi="Aptos" w:eastAsia="Aptos" w:cs="Aptos"/>
          <w:noProof w:val="0"/>
          <w:sz w:val="24"/>
          <w:szCs w:val="24"/>
          <w:lang w:val="en-US"/>
        </w:rPr>
        <w:t>The models use a cross-encoder architecture in which each candidate answer option is paired with the question text. The asset name associated with each question is included as part of the input context, since the exploratory analysis demonstrated that sensor relevance depends strongly on the type of asset being monitored. Each model input therefore consists of the question context combined with a candidate option, allowing the transformer to evaluate the relationship between the two.</w:t>
      </w:r>
    </w:p>
    <w:p w:rsidR="532ED186" w:rsidP="6E962E23" w:rsidRDefault="532ED186" w14:paraId="5B1084D0" w14:textId="4664D97E">
      <w:pPr>
        <w:spacing w:before="180" w:beforeAutospacing="off" w:after="180" w:afterAutospacing="off"/>
      </w:pPr>
      <w:r w:rsidRPr="6E962E23" w:rsidR="532ED186">
        <w:rPr>
          <w:rFonts w:ascii="Aptos" w:hAnsi="Aptos" w:eastAsia="Aptos" w:cs="Aptos"/>
          <w:noProof w:val="0"/>
          <w:sz w:val="24"/>
          <w:szCs w:val="24"/>
          <w:lang w:val="en-US"/>
        </w:rPr>
        <w:t>The first model, referred to as the selection model, is trained on the single-answer dataset. In this setting the model must select exactly one correct option from a set of candidate answers. The model produces a score for each candidate option, and the option with the highest score is selected as the predicted answer. During training, the logits corresponding to all candidate options are reshaped so that they can be compared directly, and the model is optimized using cross-entropy loss. This loss function encourages the model to assign the highest score to the correct option while suppressing the scores of incorrect options.</w:t>
      </w:r>
    </w:p>
    <w:p w:rsidR="532ED186" w:rsidP="6E962E23" w:rsidRDefault="532ED186" w14:paraId="1E970EB0" w14:textId="07FCB7BB">
      <w:pPr>
        <w:spacing w:before="180" w:beforeAutospacing="off" w:after="180" w:afterAutospacing="off"/>
      </w:pPr>
      <w:r w:rsidRPr="6E962E23" w:rsidR="532ED186">
        <w:rPr>
          <w:rFonts w:ascii="Aptos" w:hAnsi="Aptos" w:eastAsia="Aptos" w:cs="Aptos"/>
          <w:noProof w:val="0"/>
          <w:sz w:val="24"/>
          <w:szCs w:val="24"/>
          <w:lang w:val="en-US"/>
        </w:rPr>
        <w:t>The second model, referred to as the verification model, is trained on the multi-answer dataset. In this task multiple options may be correct for a given question. Instead of selecting a single answer, the model predicts the probability that each candidate option is correct independently. The output logits are converted into probabilities using a sigmoid activation function, and the model is trained using binary cross-entropy with logits loss.</w:t>
      </w:r>
    </w:p>
    <w:p w:rsidR="532ED186" w:rsidP="6E962E23" w:rsidRDefault="532ED186" w14:paraId="6176E3AF" w14:textId="6529395C">
      <w:pPr>
        <w:spacing w:before="180" w:beforeAutospacing="off" w:after="180" w:afterAutospacing="off"/>
      </w:pPr>
      <w:r w:rsidRPr="6E962E23" w:rsidR="532ED186">
        <w:rPr>
          <w:rFonts w:ascii="Aptos" w:hAnsi="Aptos" w:eastAsia="Aptos" w:cs="Aptos"/>
          <w:noProof w:val="0"/>
          <w:sz w:val="24"/>
          <w:szCs w:val="24"/>
          <w:lang w:val="en-US"/>
        </w:rPr>
        <w:t xml:space="preserve">Both models were trained using the AdamW optimizer with a learning rate of </w:t>
      </w:r>
      <w:r w:rsidR="532ED186">
        <w:drawing>
          <wp:inline wp14:editId="2C1D49EA" wp14:anchorId="44213906">
            <wp:extent cx="342900" cy="342900"/>
            <wp:effectExtent l="0" t="0" r="0" b="0"/>
            <wp:docPr id="1165707049" name="drawing" descr="F,{caafebd8-bab7-4d01-8ae3-e94f8ad51bdc}{77},0.9375,0.479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9004494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6E962E23" w:rsidR="532ED186">
        <w:rPr>
          <w:rFonts w:ascii="Aptos" w:hAnsi="Aptos" w:eastAsia="Aptos" w:cs="Aptos"/>
          <w:noProof w:val="0"/>
          <w:sz w:val="24"/>
          <w:szCs w:val="24"/>
          <w:lang w:val="en-US"/>
        </w:rPr>
        <w:t>. Training was performed for three epochs using small batch sizes to accommodate CPU-based training. During preprocessing, question-option pairs were flattened so that all candidate options within a batch could be processed simultaneously by the transformer model.</w:t>
      </w:r>
    </w:p>
    <w:p w:rsidR="532ED186" w:rsidP="6E962E23" w:rsidRDefault="532ED186" w14:paraId="3C151F71" w14:textId="5CE45310">
      <w:pPr>
        <w:spacing w:before="180" w:beforeAutospacing="off" w:after="180" w:afterAutospacing="off"/>
      </w:pPr>
      <w:r w:rsidRPr="6E962E23" w:rsidR="532ED186">
        <w:rPr>
          <w:rFonts w:ascii="Aptos" w:hAnsi="Aptos" w:eastAsia="Aptos" w:cs="Aptos"/>
          <w:noProof w:val="0"/>
          <w:sz w:val="24"/>
          <w:szCs w:val="24"/>
          <w:lang w:val="en-US"/>
        </w:rPr>
        <w:t xml:space="preserve">By separating the tasks into single-answer selection and multi-answer verification problems, the models can be </w:t>
      </w:r>
      <w:r w:rsidRPr="6E962E23" w:rsidR="532ED186">
        <w:rPr>
          <w:rFonts w:ascii="Aptos" w:hAnsi="Aptos" w:eastAsia="Aptos" w:cs="Aptos"/>
          <w:noProof w:val="0"/>
          <w:sz w:val="24"/>
          <w:szCs w:val="24"/>
          <w:lang w:val="en-US"/>
        </w:rPr>
        <w:t>optimized</w:t>
      </w:r>
      <w:r w:rsidRPr="6E962E23" w:rsidR="532ED186">
        <w:rPr>
          <w:rFonts w:ascii="Aptos" w:hAnsi="Aptos" w:eastAsia="Aptos" w:cs="Aptos"/>
          <w:noProof w:val="0"/>
          <w:sz w:val="24"/>
          <w:szCs w:val="24"/>
          <w:lang w:val="en-US"/>
        </w:rPr>
        <w:t xml:space="preserve"> for the specific reasoning requirements of each type of question.</w:t>
      </w:r>
    </w:p>
    <w:p w:rsidR="7AD66F33" w:rsidP="6E962E23" w:rsidRDefault="7AD66F33" w14:paraId="3F8C2CEC" w14:textId="603176C1">
      <w:pPr>
        <w:pStyle w:val="Heading1"/>
        <w:suppressLineNumbers w:val="0"/>
        <w:bidi w:val="0"/>
        <w:spacing w:before="360" w:beforeAutospacing="off" w:after="80" w:afterAutospacing="off" w:line="279" w:lineRule="auto"/>
        <w:ind w:left="0" w:right="0"/>
        <w:jc w:val="left"/>
      </w:pPr>
      <w:r w:rsidRPr="6E962E23" w:rsidR="7AD66F33">
        <w:rPr>
          <w:rFonts w:ascii="Aptos Display" w:hAnsi="Aptos Display" w:eastAsia="Aptos Display" w:cs="Aptos Display"/>
          <w:b w:val="0"/>
          <w:bCs w:val="0"/>
          <w:noProof w:val="0"/>
          <w:color w:val="0F4761" w:themeColor="accent1" w:themeTint="FF" w:themeShade="BF"/>
          <w:sz w:val="40"/>
          <w:szCs w:val="40"/>
          <w:lang w:val="en-US"/>
        </w:rPr>
        <w:t>Initial Results and Challenges</w:t>
      </w:r>
    </w:p>
    <w:p w:rsidR="7AD66F33" w:rsidP="6E962E23" w:rsidRDefault="7AD66F33" w14:paraId="239EBBB8" w14:textId="1746EB7C">
      <w:pPr>
        <w:spacing w:before="180" w:beforeAutospacing="off" w:after="180" w:afterAutospacing="off"/>
      </w:pPr>
      <w:r w:rsidRPr="6E962E23" w:rsidR="7AD66F33">
        <w:rPr>
          <w:rFonts w:ascii="Aptos" w:hAnsi="Aptos" w:eastAsia="Aptos" w:cs="Aptos"/>
          <w:noProof w:val="0"/>
          <w:sz w:val="24"/>
          <w:szCs w:val="24"/>
          <w:lang w:val="en-US"/>
        </w:rPr>
        <w:t>Initial experiments suggest that the current models are not yet learning meaningful patterns from the dataset. Training loss remained relatively stable across epochs and the prediction probabilities produced by the models were nearly uniform across answer options, which is consistent with behavior expected from an untrained classifier. One possible explanation is that the pretrained transformer encoder was frozen during training, leaving only the small classification head to adapt to the domain-specific diagnostic relationships present in the data. In addition, the limited number of training epochs and conservative learning rate may restrict the model’s ability to adjust effectively. In the next phase of the project, we plan to investigate several potential improvements, including unfreezing portions of the transformer encoder to allow deeper fine-tuning, increasing the number of training epochs, and experimenting with different learning rates and batch sizes. These adjustments will help determine whether the current architecture can learn the diagnostic relationships encoded in the dataset or whether alternative modeling strategies should be explored.</w:t>
      </w:r>
    </w:p>
    <w:p w:rsidR="6E962E23" w:rsidP="6E962E23" w:rsidRDefault="6E962E23" w14:paraId="05109A9E" w14:textId="751560B3">
      <w:pPr>
        <w:pStyle w:val="Normal"/>
        <w:ind w:left="0"/>
        <w:rPr>
          <w:sz w:val="24"/>
          <w:szCs w:val="24"/>
        </w:rPr>
      </w:pPr>
    </w:p>
    <w:p w:rsidR="6E962E23" w:rsidP="6E962E23" w:rsidRDefault="6E962E23" w14:paraId="4C0F117D" w14:textId="224EA654">
      <w:pPr>
        <w:pStyle w:val="Normal"/>
        <w:ind w:left="0"/>
        <w:rPr>
          <w:sz w:val="24"/>
          <w:szCs w:val="24"/>
        </w:rPr>
      </w:pPr>
    </w:p>
    <w:p w:rsidR="6E962E23" w:rsidP="6E962E23" w:rsidRDefault="6E962E23" w14:paraId="2D1C0C19" w14:textId="005610E6">
      <w:pPr>
        <w:pStyle w:val="Normal"/>
        <w:ind w:left="0"/>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26dae2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D06BEB"/>
    <w:rsid w:val="0040BC2E"/>
    <w:rsid w:val="091A62DE"/>
    <w:rsid w:val="0AB189CB"/>
    <w:rsid w:val="0AFBCB44"/>
    <w:rsid w:val="14AE8EF7"/>
    <w:rsid w:val="160EC1FB"/>
    <w:rsid w:val="16897ACB"/>
    <w:rsid w:val="1BC5D4FA"/>
    <w:rsid w:val="1DA65404"/>
    <w:rsid w:val="1E434918"/>
    <w:rsid w:val="1ED146D4"/>
    <w:rsid w:val="24795356"/>
    <w:rsid w:val="2BC99609"/>
    <w:rsid w:val="2F2EAB3D"/>
    <w:rsid w:val="30D3A046"/>
    <w:rsid w:val="3663CF0E"/>
    <w:rsid w:val="38D06BEB"/>
    <w:rsid w:val="3A619720"/>
    <w:rsid w:val="4101062D"/>
    <w:rsid w:val="45BE1B4B"/>
    <w:rsid w:val="466B1CA7"/>
    <w:rsid w:val="46AD2CFF"/>
    <w:rsid w:val="4ADEBB7A"/>
    <w:rsid w:val="4CFB8375"/>
    <w:rsid w:val="4E2CAA72"/>
    <w:rsid w:val="4E7683B6"/>
    <w:rsid w:val="526B3EB0"/>
    <w:rsid w:val="532ED186"/>
    <w:rsid w:val="547C592C"/>
    <w:rsid w:val="55E2CEFB"/>
    <w:rsid w:val="5613ED23"/>
    <w:rsid w:val="60CDFE55"/>
    <w:rsid w:val="62256216"/>
    <w:rsid w:val="6E962E23"/>
    <w:rsid w:val="71046F40"/>
    <w:rsid w:val="760522D8"/>
    <w:rsid w:val="78FA6E17"/>
    <w:rsid w:val="7AD66F33"/>
    <w:rsid w:val="7ADF55B0"/>
    <w:rsid w:val="7CCA4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CEFD1"/>
  <w15:chartTrackingRefBased/>
  <w15:docId w15:val="{ED276397-3395-40E9-B67F-8D2F90E3BCC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E962E23"/>
    <w:pPr>
      <w:spacing/>
      <w:ind w:left="720"/>
      <w:contextualSpacing/>
    </w:pPr>
  </w:style>
  <w:style w:type="paragraph" w:styleId="FootnoteText">
    <w:uiPriority w:val="99"/>
    <w:name w:val="footnote text"/>
    <w:basedOn w:val="Normal"/>
    <w:semiHidden/>
    <w:unhideWhenUsed/>
    <w:rsid w:val="6E962E23"/>
    <w:rPr>
      <w:sz w:val="20"/>
      <w:szCs w:val="20"/>
    </w:rPr>
    <w:pPr>
      <w:spacing w:after="0" w:line="240" w:lineRule="auto"/>
    </w:pPr>
  </w:style>
  <w:style w:type="character" w:styleId="FootnoteReference">
    <w:uiPriority w:val="99"/>
    <w:name w:val="footnote reference"/>
    <w:basedOn w:val="DefaultParagraphFont"/>
    <w:semiHidden/>
    <w:unhideWhenUsed/>
    <w:rsid w:val="6E962E23"/>
    <w:rPr>
      <w:vertAlign w:val="superscript"/>
    </w:rPr>
  </w:style>
  <w:style w:type="paragraph" w:styleId="Heading1">
    <w:uiPriority w:val="9"/>
    <w:name w:val="heading 1"/>
    <w:basedOn w:val="Normal"/>
    <w:next w:val="Normal"/>
    <w:qFormat/>
    <w:rsid w:val="6E962E2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E962E2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itle">
    <w:uiPriority w:val="10"/>
    <w:name w:val="Title"/>
    <w:basedOn w:val="Normal"/>
    <w:next w:val="Normal"/>
    <w:qFormat/>
    <w:rsid w:val="6E962E23"/>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Hyperlink">
    <w:uiPriority w:val="99"/>
    <w:name w:val="Hyperlink"/>
    <w:basedOn w:val="DefaultParagraphFont"/>
    <w:unhideWhenUsed/>
    <w:rsid w:val="6E962E2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ord-edit.officeapps.live.com/we/wordeditorframe.aspx?ui=en-US&amp;rs=en-US&amp;wopisrc=https%3A%2F%2Fgtvault-my.sharepoint.com%2Fpersonal%2Fmjarvis30_gatech_edu%2F_vti_bin%2Fwopi.ashx%2Ffiles%2Fcff0a54d167f4f3a86211d0866d77696&amp;wdenableroaming=1&amp;mscc=1&amp;wdodb=1&amp;hid=FC42F5FF-83DF-4892-AB5F-4B159C62FD39.0&amp;uih=sharepointcom&amp;wdlcid=en-US&amp;jsapi=1&amp;jsapiver=v2&amp;corrid=be069c76-3467-511e-5d1b-a307f0f9e3b4&amp;usid=be069c76-3467-511e-5d1b-a307f0f9e3b4&amp;newsession=1&amp;sftc=1&amp;uihit=docaspx&amp;muv=1&amp;ats=PairwiseBroker&amp;cac=1&amp;sams=1&amp;mtf=1&amp;sfp=1&amp;sdp=1&amp;hch=1&amp;hwfh=1&amp;dchat=1&amp;sc=%7B%22pmo%22%3A%22https%3A%2F%2Fgtvault-my.sharepoint.com%22%2C%22pmshare%22%3Atrue%7D&amp;ctp=LeastProtected&amp;rct=Normal&amp;wdorigin=AuthPrompt.Sharing.ServerTransfer&amp;afdflight=72&amp;csiro=1&amp;instantedit=1&amp;wopicomplete=1&amp;wdredirectionreason=Unified_SingleFlush#fig:asset_distribution" TargetMode="External" Id="R52ff5f6137d345ed" /><Relationship Type="http://schemas.openxmlformats.org/officeDocument/2006/relationships/image" Target="/media/image.png" Id="rId1384139502" /><Relationship Type="http://schemas.openxmlformats.org/officeDocument/2006/relationships/hyperlink" Target="https://word-edit.officeapps.live.com/we/wordeditorframe.aspx?ui=en-US&amp;rs=en-US&amp;wopisrc=https%3A%2F%2Fgtvault-my.sharepoint.com%2Fpersonal%2Fmjarvis30_gatech_edu%2F_vti_bin%2Fwopi.ashx%2Ffiles%2Fcff0a54d167f4f3a86211d0866d77696&amp;wdenableroaming=1&amp;mscc=1&amp;wdodb=1&amp;hid=FC42F5FF-83DF-4892-AB5F-4B159C62FD39.0&amp;uih=sharepointcom&amp;wdlcid=en-US&amp;jsapi=1&amp;jsapiver=v2&amp;corrid=be069c76-3467-511e-5d1b-a307f0f9e3b4&amp;usid=be069c76-3467-511e-5d1b-a307f0f9e3b4&amp;newsession=1&amp;sftc=1&amp;uihit=docaspx&amp;muv=1&amp;ats=PairwiseBroker&amp;cac=1&amp;sams=1&amp;mtf=1&amp;sfp=1&amp;sdp=1&amp;hch=1&amp;hwfh=1&amp;dchat=1&amp;sc=%7B%22pmo%22%3A%22https%3A%2F%2Fgtvault-my.sharepoint.com%22%2C%22pmshare%22%3Atrue%7D&amp;ctp=LeastProtected&amp;rct=Normal&amp;wdorigin=AuthPrompt.Sharing.ServerTransfer&amp;afdflight=72&amp;csiro=1&amp;instantedit=1&amp;wopicomplete=1&amp;wdredirectionreason=Unified_SingleFlush#fig:sensor_frequency" TargetMode="External" Id="R9d5ef9b98ccb464f" /><Relationship Type="http://schemas.openxmlformats.org/officeDocument/2006/relationships/image" Target="/media/image2.png" Id="rId1167174946" /><Relationship Type="http://schemas.openxmlformats.org/officeDocument/2006/relationships/hyperlink" Target="https://word-edit.officeapps.live.com/we/wordeditorframe.aspx?ui=en-US&amp;rs=en-US&amp;wopisrc=https%3A%2F%2Fgtvault-my.sharepoint.com%2Fpersonal%2Fmjarvis30_gatech_edu%2F_vti_bin%2Fwopi.ashx%2Ffiles%2Fcff0a54d167f4f3a86211d0866d77696&amp;wdenableroaming=1&amp;mscc=1&amp;wdodb=1&amp;hid=FC42F5FF-83DF-4892-AB5F-4B159C62FD39.0&amp;uih=sharepointcom&amp;wdlcid=en-US&amp;jsapi=1&amp;jsapiver=v2&amp;corrid=be069c76-3467-511e-5d1b-a307f0f9e3b4&amp;usid=be069c76-3467-511e-5d1b-a307f0f9e3b4&amp;newsession=1&amp;sftc=1&amp;uihit=docaspx&amp;muv=1&amp;ats=PairwiseBroker&amp;cac=1&amp;sams=1&amp;mtf=1&amp;sfp=1&amp;sdp=1&amp;hch=1&amp;hwfh=1&amp;dchat=1&amp;sc=%7B%22pmo%22%3A%22https%3A%2F%2Fgtvault-my.sharepoint.com%22%2C%22pmshare%22%3Atrue%7D&amp;ctp=LeastProtected&amp;rct=Normal&amp;wdorigin=AuthPrompt.Sharing.ServerTransfer&amp;afdflight=72&amp;csiro=1&amp;instantedit=1&amp;wopicomplete=1&amp;wdredirectionreason=Unified_SingleFlush#fig:sensor_heatmap" TargetMode="External" Id="Rc8c3ffccb5524233" /><Relationship Type="http://schemas.openxmlformats.org/officeDocument/2006/relationships/image" Target="/media/image3.png" Id="rId1115163216" /><Relationship Type="http://schemas.openxmlformats.org/officeDocument/2006/relationships/hyperlink" Target="https://word-edit.officeapps.live.com/we/wordeditorframe.aspx?ui=en-US&amp;rs=en-US&amp;wopisrc=https%3A%2F%2Fgtvault-my.sharepoint.com%2Fpersonal%2Fmjarvis30_gatech_edu%2F_vti_bin%2Fwopi.ashx%2Ffiles%2Fcff0a54d167f4f3a86211d0866d77696&amp;wdenableroaming=1&amp;mscc=1&amp;wdodb=1&amp;hid=FC42F5FF-83DF-4892-AB5F-4B159C62FD39.0&amp;uih=sharepointcom&amp;wdlcid=en-US&amp;jsapi=1&amp;jsapiver=v2&amp;corrid=be069c76-3467-511e-5d1b-a307f0f9e3b4&amp;usid=be069c76-3467-511e-5d1b-a307f0f9e3b4&amp;newsession=1&amp;sftc=1&amp;uihit=docaspx&amp;muv=1&amp;ats=PairwiseBroker&amp;cac=1&amp;sams=1&amp;mtf=1&amp;sfp=1&amp;sdp=1&amp;hch=1&amp;hwfh=1&amp;dchat=1&amp;sc=%7B%22pmo%22%3A%22https%3A%2F%2Fgtvault-my.sharepoint.com%22%2C%22pmshare%22%3Atrue%7D&amp;ctp=LeastProtected&amp;rct=Normal&amp;wdorigin=AuthPrompt.Sharing.ServerTransfer&amp;afdflight=72&amp;csiro=1&amp;instantedit=1&amp;wopicomplete=1&amp;wdredirectionreason=Unified_SingleFlush#fig:num_options" TargetMode="External" Id="R8fa60454c2fd41de" /><Relationship Type="http://schemas.openxmlformats.org/officeDocument/2006/relationships/image" Target="/media/image4.png" Id="rId874843386" /><Relationship Type="http://schemas.openxmlformats.org/officeDocument/2006/relationships/image" Target="/media/image5.png" Id="rId190044940" /><Relationship Type="http://schemas.openxmlformats.org/officeDocument/2006/relationships/numbering" Target="numbering.xml" Id="R77f40ee209a64bd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2026-03-05T05:36:55.8165361Z</dcterms:created>
  <dcterms:modified xsi:type="dcterms:W3CDTF">2026-03-06T06:37:28.8508911Z</dcterms:modified>
  <dc:creator>Jarvis, Matthew</dc:creator>
  <lastModifiedBy>Gewing-Mullins, Jordan A</lastModifiedBy>
</coreProperties>
</file>