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08E06F84" w:rsidR="007D129B" w:rsidRPr="007D129B" w:rsidRDefault="005C703E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Y axis distorts the data by giving a </w:t>
            </w:r>
            <w:r w:rsidR="003B69E5">
              <w:rPr>
                <w:color w:val="FF0000"/>
              </w:rPr>
              <w:t xml:space="preserve">starting point of </w:t>
            </w:r>
            <w:r w:rsidR="001A1CE8">
              <w:rPr>
                <w:color w:val="FF0000"/>
              </w:rPr>
              <w:t>94,000,000. There is a limited range to the maximum Y value making it seem as though there is a large jump, when if we looked at t</w:t>
            </w:r>
            <w:r w:rsidR="003D57AC">
              <w:rPr>
                <w:color w:val="FF0000"/>
              </w:rPr>
              <w:t xml:space="preserve">he data on a scale from 0 – 108,000,000 the jump would seem considerably smaller. </w:t>
            </w: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241D70B3" w:rsidR="00AD6406" w:rsidRPr="00AD6406" w:rsidRDefault="00B348BA" w:rsidP="00C34D08">
            <w:pPr>
              <w:rPr>
                <w:color w:val="FF0000"/>
              </w:rPr>
            </w:pPr>
            <w:bookmarkStart w:id="0" w:name="_Hlk98146318"/>
            <w:commentRangeStart w:id="1"/>
            <w:r>
              <w:rPr>
                <w:color w:val="FF0000"/>
              </w:rPr>
              <w:t>Th</w:t>
            </w:r>
            <w:r w:rsidR="00BC28E1">
              <w:rPr>
                <w:color w:val="FF0000"/>
              </w:rPr>
              <w:t xml:space="preserve">is representation of data does not encourage comparison. </w:t>
            </w:r>
            <w:r w:rsidR="00F20A0F">
              <w:rPr>
                <w:color w:val="FF0000"/>
              </w:rPr>
              <w:t xml:space="preserve">Multiple lines should be included allowing people to compare data. </w:t>
            </w:r>
            <w:commentRangeEnd w:id="1"/>
            <w:r w:rsidR="00204A2D">
              <w:rPr>
                <w:rStyle w:val="CommentReference"/>
              </w:rPr>
              <w:commentReference w:id="1"/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1784"/>
        <w:gridCol w:w="2514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proofErr w:type="spellStart"/>
            <w:r>
              <w:t>Geom</w:t>
            </w:r>
            <w:proofErr w:type="spellEnd"/>
            <w:r>
              <w:t>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 xml:space="preserve">(id: Cdc42, </w:t>
            </w:r>
            <w:proofErr w:type="spellStart"/>
            <w:r w:rsidR="00DC112A">
              <w:t>Rac</w:t>
            </w:r>
            <w:proofErr w:type="spellEnd"/>
            <w:r w:rsidR="00DC112A">
              <w:t>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7F670C0" w14:textId="260A7C8D" w:rsidR="00E92F7A" w:rsidRDefault="001D5416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</w:t>
            </w:r>
            <w:r w:rsidR="00E40D0E">
              <w:rPr>
                <w:b/>
                <w:bCs/>
                <w:color w:val="FF0000"/>
              </w:rPr>
              <w:t xml:space="preserve">– </w:t>
            </w:r>
            <w:proofErr w:type="spellStart"/>
            <w:r w:rsidR="00E40D0E">
              <w:rPr>
                <w:color w:val="FF0000"/>
              </w:rPr>
              <w:t>hwy</w:t>
            </w:r>
            <w:proofErr w:type="spellEnd"/>
          </w:p>
          <w:p w14:paraId="385AF05E" w14:textId="66457BFE" w:rsidR="00E40D0E" w:rsidRDefault="00E40D0E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Y </w:t>
            </w:r>
            <w:r w:rsidR="00206204">
              <w:rPr>
                <w:color w:val="FF0000"/>
              </w:rPr>
              <w:t xml:space="preserve">– </w:t>
            </w:r>
            <w:r w:rsidRPr="00E40D0E">
              <w:rPr>
                <w:color w:val="FF0000"/>
              </w:rPr>
              <w:t>class</w:t>
            </w:r>
          </w:p>
          <w:p w14:paraId="3BF64897" w14:textId="77777777" w:rsidR="00206204" w:rsidRDefault="00A539D4" w:rsidP="005537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Color</w:t>
            </w:r>
          </w:p>
          <w:p w14:paraId="26202CFB" w14:textId="05322F8C" w:rsidR="00A539D4" w:rsidRDefault="00A539D4" w:rsidP="005537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Fill</w:t>
            </w:r>
            <w:r w:rsidR="002C73A7">
              <w:rPr>
                <w:b/>
                <w:bCs/>
                <w:color w:val="FF0000"/>
              </w:rPr>
              <w:t xml:space="preserve"> - </w:t>
            </w:r>
            <w:proofErr w:type="spellStart"/>
            <w:r w:rsidR="002C73A7">
              <w:rPr>
                <w:b/>
                <w:bCs/>
                <w:color w:val="FF0000"/>
              </w:rPr>
              <w:t>cyl</w:t>
            </w:r>
            <w:proofErr w:type="spellEnd"/>
          </w:p>
          <w:p w14:paraId="475158DF" w14:textId="61D3F069" w:rsidR="00801095" w:rsidRPr="00801095" w:rsidRDefault="00801095" w:rsidP="0055379D">
            <w:pPr>
              <w:rPr>
                <w:color w:val="FF0000"/>
              </w:rPr>
            </w:pPr>
            <w:commentRangeStart w:id="2"/>
            <w:r>
              <w:rPr>
                <w:b/>
                <w:bCs/>
                <w:color w:val="FF0000"/>
              </w:rPr>
              <w:t xml:space="preserve">Groups </w:t>
            </w:r>
            <w:r w:rsidR="00763605">
              <w:rPr>
                <w:color w:val="FF0000"/>
              </w:rPr>
              <w:t>–</w:t>
            </w:r>
            <w:r>
              <w:rPr>
                <w:color w:val="FF0000"/>
              </w:rPr>
              <w:t xml:space="preserve"> </w:t>
            </w:r>
            <w:r w:rsidR="00763605">
              <w:rPr>
                <w:color w:val="FF0000"/>
              </w:rPr>
              <w:t>4,5,6,8</w:t>
            </w:r>
            <w:commentRangeEnd w:id="2"/>
            <w:r w:rsidR="00204A2D">
              <w:rPr>
                <w:rStyle w:val="CommentReference"/>
              </w:rPr>
              <w:commentReference w:id="2"/>
            </w:r>
          </w:p>
        </w:tc>
        <w:tc>
          <w:tcPr>
            <w:tcW w:w="2226" w:type="dxa"/>
          </w:tcPr>
          <w:p w14:paraId="081A2417" w14:textId="77777777" w:rsidR="00E92F7A" w:rsidRDefault="00F03738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  <w:p w14:paraId="16CB4EC3" w14:textId="404DEA16" w:rsidR="00F03738" w:rsidRPr="00E92F7A" w:rsidRDefault="00F03738" w:rsidP="0055379D">
            <w:pPr>
              <w:rPr>
                <w:b/>
                <w:bCs/>
                <w:color w:val="FF0000"/>
              </w:rPr>
            </w:pP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3AC30DB" w14:textId="77777777" w:rsidR="00FF00DC" w:rsidRDefault="00471D25" w:rsidP="0055379D">
            <w:pPr>
              <w:rPr>
                <w:color w:val="FF0000"/>
              </w:rPr>
            </w:pPr>
            <w:r>
              <w:rPr>
                <w:color w:val="FF0000"/>
              </w:rPr>
              <w:t xml:space="preserve">X </w:t>
            </w:r>
            <w:r w:rsidR="00A937B8">
              <w:rPr>
                <w:color w:val="FF0000"/>
              </w:rPr>
              <w:t>–</w:t>
            </w:r>
            <w:r>
              <w:rPr>
                <w:color w:val="FF0000"/>
              </w:rPr>
              <w:t xml:space="preserve"> </w:t>
            </w:r>
            <w:r w:rsidR="00A937B8">
              <w:rPr>
                <w:color w:val="FF0000"/>
              </w:rPr>
              <w:t>Africa, Americas, Asia, Europe, Oceania</w:t>
            </w:r>
          </w:p>
          <w:p w14:paraId="464B602B" w14:textId="77777777" w:rsidR="00A937B8" w:rsidRDefault="00A937B8" w:rsidP="0055379D">
            <w:pPr>
              <w:rPr>
                <w:color w:val="FF0000"/>
              </w:rPr>
            </w:pPr>
            <w:r>
              <w:rPr>
                <w:color w:val="FF0000"/>
              </w:rPr>
              <w:t xml:space="preserve">Y – </w:t>
            </w:r>
            <w:proofErr w:type="spellStart"/>
            <w:r>
              <w:rPr>
                <w:color w:val="FF0000"/>
              </w:rPr>
              <w:t>lifeExp</w:t>
            </w:r>
            <w:proofErr w:type="spellEnd"/>
          </w:p>
          <w:p w14:paraId="13ECAD02" w14:textId="76B0F585" w:rsidR="00A937B8" w:rsidRDefault="00A937B8" w:rsidP="0055379D">
            <w:pPr>
              <w:rPr>
                <w:color w:val="FF0000"/>
              </w:rPr>
            </w:pPr>
            <w:r>
              <w:rPr>
                <w:color w:val="FF0000"/>
              </w:rPr>
              <w:t xml:space="preserve">Color </w:t>
            </w:r>
            <w:r w:rsidR="00B50CDF">
              <w:rPr>
                <w:color w:val="FF0000"/>
              </w:rPr>
              <w:t xml:space="preserve">- </w:t>
            </w:r>
          </w:p>
          <w:p w14:paraId="08A66E32" w14:textId="262E0BC1" w:rsidR="00A937B8" w:rsidRDefault="00A937B8" w:rsidP="0055379D">
            <w:pPr>
              <w:rPr>
                <w:color w:val="FF0000"/>
              </w:rPr>
            </w:pPr>
            <w:r>
              <w:rPr>
                <w:color w:val="FF0000"/>
              </w:rPr>
              <w:t>Fill</w:t>
            </w:r>
          </w:p>
          <w:p w14:paraId="33E55A74" w14:textId="667BFE75" w:rsidR="00A937B8" w:rsidRPr="00FF00DC" w:rsidRDefault="00A937B8" w:rsidP="0055379D">
            <w:pPr>
              <w:rPr>
                <w:color w:val="FF0000"/>
              </w:rPr>
            </w:pPr>
            <w:r>
              <w:rPr>
                <w:color w:val="FF0000"/>
              </w:rPr>
              <w:t>Groups</w:t>
            </w:r>
          </w:p>
        </w:tc>
        <w:tc>
          <w:tcPr>
            <w:tcW w:w="2226" w:type="dxa"/>
          </w:tcPr>
          <w:p w14:paraId="23C4F437" w14:textId="77777777" w:rsidR="00FF00DC" w:rsidRDefault="00D4152D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  <w:p w14:paraId="00CBD2B6" w14:textId="6509C202" w:rsidR="00D4152D" w:rsidRPr="00FF00DC" w:rsidRDefault="00E3438D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</w:t>
            </w:r>
            <w:commentRangeStart w:id="3"/>
            <w:r w:rsidR="0099133A">
              <w:rPr>
                <w:b/>
                <w:bCs/>
                <w:color w:val="FF0000"/>
              </w:rPr>
              <w:t>count</w:t>
            </w:r>
            <w:commentRangeEnd w:id="3"/>
            <w:proofErr w:type="spellEnd"/>
            <w:r w:rsidR="00204A2D">
              <w:rPr>
                <w:rStyle w:val="CommentReference"/>
              </w:rPr>
              <w:commentReference w:id="3"/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7089E513" w14:textId="4D5916D5" w:rsidR="00FF00DC" w:rsidRDefault="00127502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</w:t>
            </w:r>
            <w:r w:rsidR="00581AE4">
              <w:rPr>
                <w:b/>
                <w:bCs/>
                <w:color w:val="FF0000"/>
              </w:rPr>
              <w:t>–</w:t>
            </w:r>
            <w:r>
              <w:rPr>
                <w:b/>
                <w:bCs/>
                <w:color w:val="FF0000"/>
              </w:rPr>
              <w:t xml:space="preserve"> </w:t>
            </w:r>
            <w:r w:rsidR="00581AE4">
              <w:rPr>
                <w:b/>
                <w:bCs/>
                <w:color w:val="FF0000"/>
              </w:rPr>
              <w:t>Weight</w:t>
            </w:r>
          </w:p>
          <w:p w14:paraId="1E12ADCC" w14:textId="77777777" w:rsidR="00581AE4" w:rsidRDefault="00581AE4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Y – </w:t>
            </w:r>
            <w:commentRangeStart w:id="4"/>
            <w:r>
              <w:rPr>
                <w:b/>
                <w:bCs/>
                <w:color w:val="FF0000"/>
              </w:rPr>
              <w:t>Count</w:t>
            </w:r>
            <w:commentRangeEnd w:id="4"/>
            <w:r w:rsidR="00204A2D">
              <w:rPr>
                <w:rStyle w:val="CommentReference"/>
              </w:rPr>
              <w:commentReference w:id="4"/>
            </w:r>
            <w:r>
              <w:rPr>
                <w:b/>
                <w:bCs/>
                <w:color w:val="FF0000"/>
              </w:rPr>
              <w:t xml:space="preserve"> </w:t>
            </w:r>
          </w:p>
          <w:p w14:paraId="553A91DD" w14:textId="07568AAC" w:rsidR="00581AE4" w:rsidRDefault="00581AE4" w:rsidP="00FF00DC">
            <w:pPr>
              <w:rPr>
                <w:b/>
                <w:bCs/>
                <w:color w:val="FF0000"/>
              </w:rPr>
            </w:pPr>
          </w:p>
        </w:tc>
        <w:tc>
          <w:tcPr>
            <w:tcW w:w="2226" w:type="dxa"/>
          </w:tcPr>
          <w:p w14:paraId="04849798" w14:textId="77777777" w:rsidR="00FF00DC" w:rsidRDefault="00EC619A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</w:t>
            </w:r>
            <w:commentRangeStart w:id="5"/>
            <w:r>
              <w:rPr>
                <w:b/>
                <w:bCs/>
                <w:color w:val="FF0000"/>
              </w:rPr>
              <w:t>histogram</w:t>
            </w:r>
            <w:commentRangeEnd w:id="5"/>
            <w:proofErr w:type="spellEnd"/>
            <w:r w:rsidR="00204A2D">
              <w:rPr>
                <w:rStyle w:val="CommentReference"/>
              </w:rPr>
              <w:commentReference w:id="5"/>
            </w:r>
            <w:r>
              <w:rPr>
                <w:b/>
                <w:bCs/>
                <w:color w:val="FF0000"/>
              </w:rPr>
              <w:t>()</w:t>
            </w:r>
          </w:p>
          <w:p w14:paraId="42FABA67" w14:textId="3C6186FE" w:rsidR="00EC619A" w:rsidRDefault="00EC619A" w:rsidP="0055379D">
            <w:pPr>
              <w:rPr>
                <w:b/>
                <w:bCs/>
                <w:color w:val="FF0000"/>
              </w:rPr>
            </w:pP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006035B" w14:textId="656D617B" w:rsidR="00E9003C" w:rsidRDefault="00F96AC7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Fill </w:t>
            </w:r>
            <w:r w:rsidR="007D524D">
              <w:rPr>
                <w:b/>
                <w:bCs/>
                <w:color w:val="FF0000"/>
              </w:rPr>
              <w:t>–</w:t>
            </w:r>
            <w:r>
              <w:rPr>
                <w:b/>
                <w:bCs/>
                <w:color w:val="FF0000"/>
              </w:rPr>
              <w:t xml:space="preserve"> </w:t>
            </w:r>
            <w:r w:rsidR="007D524D">
              <w:rPr>
                <w:b/>
                <w:bCs/>
                <w:color w:val="FF0000"/>
              </w:rPr>
              <w:t>supp</w:t>
            </w:r>
          </w:p>
          <w:p w14:paraId="717485E6" w14:textId="77777777" w:rsidR="007D524D" w:rsidRDefault="007D524D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– Len</w:t>
            </w:r>
          </w:p>
          <w:p w14:paraId="7A6D70C9" w14:textId="77777777" w:rsidR="007D524D" w:rsidRDefault="007D524D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– Dose </w:t>
            </w:r>
          </w:p>
          <w:p w14:paraId="41338B1A" w14:textId="7A5DC983" w:rsidR="00B50CDF" w:rsidRDefault="00B50CDF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Color – OJ, VC</w:t>
            </w:r>
          </w:p>
        </w:tc>
        <w:tc>
          <w:tcPr>
            <w:tcW w:w="2226" w:type="dxa"/>
          </w:tcPr>
          <w:p w14:paraId="716C288D" w14:textId="3DFC2BB1" w:rsidR="00E9003C" w:rsidRDefault="008D1388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</w:t>
            </w:r>
            <w:r w:rsidR="00564340">
              <w:rPr>
                <w:b/>
                <w:bCs/>
                <w:color w:val="FF0000"/>
              </w:rPr>
              <w:t>col</w:t>
            </w:r>
            <w:proofErr w:type="spellEnd"/>
            <w:r>
              <w:rPr>
                <w:b/>
                <w:bCs/>
                <w:color w:val="FF0000"/>
              </w:rPr>
              <w:t>(</w:t>
            </w:r>
            <w:r w:rsidR="000C57FE">
              <w:rPr>
                <w:b/>
                <w:bCs/>
                <w:color w:val="FF0000"/>
              </w:rPr>
              <w:t>position = “dodge”</w:t>
            </w:r>
            <w:r w:rsidR="002F41B9">
              <w:rPr>
                <w:b/>
                <w:bCs/>
                <w:color w:val="FF0000"/>
              </w:rPr>
              <w:t>, stat = “identity”</w:t>
            </w:r>
            <w:r>
              <w:rPr>
                <w:b/>
                <w:bCs/>
                <w:color w:val="FF0000"/>
              </w:rPr>
              <w:t>)</w:t>
            </w: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to produce multiple plots that are very </w:t>
      </w:r>
      <w:proofErr w:type="gramStart"/>
      <w:r>
        <w:t>similar, but</w:t>
      </w:r>
      <w:proofErr w:type="gramEnd"/>
      <w:r>
        <w:t xml:space="preserve">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53463B5C" w:rsidR="00341779" w:rsidRPr="00AD6406" w:rsidRDefault="00277C7A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In my field we could use </w:t>
            </w:r>
            <w:proofErr w:type="spellStart"/>
            <w:r>
              <w:rPr>
                <w:color w:val="FF0000"/>
              </w:rPr>
              <w:t>facet_grid</w:t>
            </w:r>
            <w:proofErr w:type="spellEnd"/>
            <w:r>
              <w:rPr>
                <w:color w:val="FF0000"/>
              </w:rPr>
              <w:t xml:space="preserve">() to display the data of </w:t>
            </w:r>
            <w:r w:rsidR="0070694E">
              <w:rPr>
                <w:color w:val="FF0000"/>
              </w:rPr>
              <w:t>binge heavy (BH) and moderate drinkers (MD) across three different task conditions (neutral, alcohol, water).</w:t>
            </w:r>
            <w:r w:rsidR="009265CC">
              <w:rPr>
                <w:color w:val="FF0000"/>
              </w:rPr>
              <w:t xml:space="preserve"> We would arrive at </w:t>
            </w:r>
            <w:proofErr w:type="spellStart"/>
            <w:r w:rsidR="009265CC">
              <w:rPr>
                <w:color w:val="FF0000"/>
              </w:rPr>
              <w:t>a</w:t>
            </w:r>
            <w:proofErr w:type="spellEnd"/>
            <w:r w:rsidR="009265CC">
              <w:rPr>
                <w:color w:val="FF0000"/>
              </w:rPr>
              <w:t xml:space="preserve"> image similar to the one that was presented </w:t>
            </w:r>
            <w:r w:rsidR="00732917">
              <w:rPr>
                <w:color w:val="FF0000"/>
              </w:rPr>
              <w:t xml:space="preserve">on slide 10. 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4394A7C1" w:rsidR="005578F6" w:rsidRPr="00AD6406" w:rsidRDefault="002C342B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You can easily manipulate the image to create an image that has the proper aspect ratio, pixel density </w:t>
            </w:r>
            <w:proofErr w:type="spellStart"/>
            <w:r>
              <w:rPr>
                <w:color w:val="FF0000"/>
              </w:rPr>
              <w:t>ect</w:t>
            </w:r>
            <w:proofErr w:type="spellEnd"/>
            <w:r>
              <w:rPr>
                <w:color w:val="FF0000"/>
              </w:rPr>
              <w:t>. Also, in the case of vectorized images they tak</w:t>
            </w:r>
            <w:r w:rsidR="00AE77C8">
              <w:rPr>
                <w:color w:val="FF0000"/>
              </w:rPr>
              <w:t xml:space="preserve">e up considerably less space. 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 xml:space="preserve">Using the </w:t>
      </w:r>
      <w:proofErr w:type="spellStart"/>
      <w:r>
        <w:t>copus</w:t>
      </w:r>
      <w:proofErr w:type="spellEnd"/>
      <w:r>
        <w:t xml:space="preserve">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</w:t>
      </w:r>
      <w:proofErr w:type="gramStart"/>
      <w:r w:rsidR="00AD5F3F">
        <w:t>exactly the same</w:t>
      </w:r>
      <w:proofErr w:type="gramEnd"/>
      <w:r w:rsidR="00AD5F3F">
        <w:t xml:space="preserve"> if using jittering, default colors,</w:t>
      </w:r>
      <w:r w:rsidR="00477298">
        <w:t xml:space="preserve"> text, titles,</w:t>
      </w:r>
      <w:r w:rsidR="00AD5F3F">
        <w:t xml:space="preserve"> exact theme, </w:t>
      </w:r>
      <w:proofErr w:type="spellStart"/>
      <w:r w:rsidR="00AD5F3F">
        <w:t>etc</w:t>
      </w:r>
      <w:proofErr w:type="spellEnd"/>
      <w:r w:rsidR="00AD5F3F">
        <w:t>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</w:t>
      </w:r>
      <w:proofErr w:type="gramStart"/>
      <w:r w:rsidR="0062585A">
        <w:t>actually grab/submit</w:t>
      </w:r>
      <w:proofErr w:type="gramEnd"/>
      <w:r w:rsidR="0062585A">
        <w:t xml:space="preserve">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5T12:52:00Z" w:initials="JH">
    <w:p w14:paraId="1D721CDC" w14:textId="7FE99770" w:rsidR="00204A2D" w:rsidRDefault="00204A2D">
      <w:pPr>
        <w:pStyle w:val="CommentText"/>
      </w:pPr>
      <w:r>
        <w:rPr>
          <w:rStyle w:val="CommentReference"/>
        </w:rPr>
        <w:annotationRef/>
      </w:r>
      <w:r>
        <w:t>Should we just draw random lines? What data should be on those lines?</w:t>
      </w:r>
    </w:p>
  </w:comment>
  <w:comment w:id="2" w:author="Jordan Harshman" w:date="2022-04-15T12:53:00Z" w:initials="JH">
    <w:p w14:paraId="3F639907" w14:textId="021167A2" w:rsidR="00204A2D" w:rsidRDefault="00204A2D">
      <w:pPr>
        <w:pStyle w:val="CommentText"/>
      </w:pPr>
      <w:r>
        <w:rPr>
          <w:rStyle w:val="CommentReference"/>
        </w:rPr>
        <w:annotationRef/>
      </w:r>
      <w:r>
        <w:t xml:space="preserve">In most cases, if you define a fill or color, it will also define a group </w:t>
      </w:r>
      <w:proofErr w:type="spellStart"/>
      <w:r>
        <w:t>aes</w:t>
      </w:r>
      <w:proofErr w:type="spellEnd"/>
      <w:r>
        <w:t xml:space="preserve"> so you don’t have to set that manually</w:t>
      </w:r>
    </w:p>
  </w:comment>
  <w:comment w:id="3" w:author="Jordan Harshman" w:date="2022-04-15T12:53:00Z" w:initials="JH">
    <w:p w14:paraId="70C16DA4" w14:textId="08229EE6" w:rsidR="00204A2D" w:rsidRDefault="00204A2D">
      <w:pPr>
        <w:pStyle w:val="CommentText"/>
      </w:pPr>
      <w:r>
        <w:rPr>
          <w:rStyle w:val="CommentReference"/>
        </w:rPr>
        <w:annotationRef/>
      </w:r>
      <w:proofErr w:type="spellStart"/>
      <w:r>
        <w:t>geom_jitter</w:t>
      </w:r>
      <w:proofErr w:type="spellEnd"/>
    </w:p>
  </w:comment>
  <w:comment w:id="4" w:author="Jordan Harshman" w:date="2022-04-15T12:54:00Z" w:initials="JH">
    <w:p w14:paraId="270E4AF5" w14:textId="77777777" w:rsidR="00204A2D" w:rsidRDefault="00204A2D">
      <w:pPr>
        <w:pStyle w:val="CommentText"/>
      </w:pPr>
      <w:r>
        <w:rPr>
          <w:rStyle w:val="CommentReference"/>
        </w:rPr>
        <w:annotationRef/>
      </w:r>
      <w:r>
        <w:t>color = sex</w:t>
      </w:r>
    </w:p>
    <w:p w14:paraId="33368651" w14:textId="025EDA3A" w:rsidR="00204A2D" w:rsidRDefault="00204A2D">
      <w:pPr>
        <w:pStyle w:val="CommentText"/>
      </w:pPr>
      <w:r>
        <w:t>-0.5</w:t>
      </w:r>
    </w:p>
  </w:comment>
  <w:comment w:id="5" w:author="Jordan Harshman" w:date="2022-04-15T12:54:00Z" w:initials="JH">
    <w:p w14:paraId="30F1305B" w14:textId="77777777" w:rsidR="00204A2D" w:rsidRDefault="00204A2D">
      <w:pPr>
        <w:pStyle w:val="CommentText"/>
      </w:pPr>
      <w:r>
        <w:rPr>
          <w:rStyle w:val="CommentReference"/>
        </w:rPr>
        <w:annotationRef/>
      </w:r>
      <w:r>
        <w:t xml:space="preserve">vertical lines drawn by </w:t>
      </w:r>
      <w:proofErr w:type="spellStart"/>
      <w:r>
        <w:t>geom_vline</w:t>
      </w:r>
      <w:proofErr w:type="spellEnd"/>
      <w:r>
        <w:t>()</w:t>
      </w:r>
    </w:p>
    <w:p w14:paraId="3A515564" w14:textId="7A28770A" w:rsidR="00204A2D" w:rsidRDefault="00204A2D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721CDC" w15:done="0"/>
  <w15:commentEx w15:paraId="3F639907" w15:done="0"/>
  <w15:commentEx w15:paraId="70C16DA4" w15:done="0"/>
  <w15:commentEx w15:paraId="33368651" w15:done="0"/>
  <w15:commentEx w15:paraId="3A5155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91E" w16cex:dateUtc="2022-04-15T17:52:00Z"/>
  <w16cex:commentExtensible w16cex:durableId="2603E939" w16cex:dateUtc="2022-04-15T17:53:00Z"/>
  <w16cex:commentExtensible w16cex:durableId="2603E95E" w16cex:dateUtc="2022-04-15T17:53:00Z"/>
  <w16cex:commentExtensible w16cex:durableId="2603E973" w16cex:dateUtc="2022-04-15T17:54:00Z"/>
  <w16cex:commentExtensible w16cex:durableId="2603E97D" w16cex:dateUtc="2022-04-15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721CDC" w16cid:durableId="2603E91E"/>
  <w16cid:commentId w16cid:paraId="3F639907" w16cid:durableId="2603E939"/>
  <w16cid:commentId w16cid:paraId="70C16DA4" w16cid:durableId="2603E95E"/>
  <w16cid:commentId w16cid:paraId="33368651" w16cid:durableId="2603E973"/>
  <w16cid:commentId w16cid:paraId="3A515564" w16cid:durableId="2603E9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C7BA" w14:textId="77777777" w:rsidR="00D0554F" w:rsidRDefault="00D0554F" w:rsidP="00420D57">
      <w:r>
        <w:separator/>
      </w:r>
    </w:p>
  </w:endnote>
  <w:endnote w:type="continuationSeparator" w:id="0">
    <w:p w14:paraId="27DF2E7A" w14:textId="77777777" w:rsidR="00D0554F" w:rsidRDefault="00D0554F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44C3" w14:textId="77777777" w:rsidR="00D0554F" w:rsidRDefault="00D0554F" w:rsidP="00420D57">
      <w:r>
        <w:separator/>
      </w:r>
    </w:p>
  </w:footnote>
  <w:footnote w:type="continuationSeparator" w:id="0">
    <w:p w14:paraId="5C6ACFFC" w14:textId="77777777" w:rsidR="00D0554F" w:rsidRDefault="00D0554F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57FE"/>
    <w:rsid w:val="000C7B17"/>
    <w:rsid w:val="000D0099"/>
    <w:rsid w:val="000D1DC6"/>
    <w:rsid w:val="000D4535"/>
    <w:rsid w:val="000D7731"/>
    <w:rsid w:val="000F27F4"/>
    <w:rsid w:val="00101265"/>
    <w:rsid w:val="001029E4"/>
    <w:rsid w:val="00111A75"/>
    <w:rsid w:val="0012112E"/>
    <w:rsid w:val="00123251"/>
    <w:rsid w:val="001233B5"/>
    <w:rsid w:val="00127502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A1CE8"/>
    <w:rsid w:val="001C460E"/>
    <w:rsid w:val="001C5775"/>
    <w:rsid w:val="001D24D6"/>
    <w:rsid w:val="001D5416"/>
    <w:rsid w:val="001D58A5"/>
    <w:rsid w:val="001F0CED"/>
    <w:rsid w:val="001F2CF5"/>
    <w:rsid w:val="00204A2D"/>
    <w:rsid w:val="00206204"/>
    <w:rsid w:val="00214E39"/>
    <w:rsid w:val="00222770"/>
    <w:rsid w:val="00227572"/>
    <w:rsid w:val="00235D6B"/>
    <w:rsid w:val="00256997"/>
    <w:rsid w:val="00262419"/>
    <w:rsid w:val="00277C7A"/>
    <w:rsid w:val="002A1566"/>
    <w:rsid w:val="002B5C04"/>
    <w:rsid w:val="002C342B"/>
    <w:rsid w:val="002C73A7"/>
    <w:rsid w:val="002C7859"/>
    <w:rsid w:val="002D1BE3"/>
    <w:rsid w:val="002E17B9"/>
    <w:rsid w:val="002F41B9"/>
    <w:rsid w:val="002F7D31"/>
    <w:rsid w:val="00304A15"/>
    <w:rsid w:val="00334B19"/>
    <w:rsid w:val="00341779"/>
    <w:rsid w:val="00355F3C"/>
    <w:rsid w:val="0036210A"/>
    <w:rsid w:val="0039381D"/>
    <w:rsid w:val="00395910"/>
    <w:rsid w:val="003B69E5"/>
    <w:rsid w:val="003D1100"/>
    <w:rsid w:val="003D15E1"/>
    <w:rsid w:val="003D57AC"/>
    <w:rsid w:val="003E3869"/>
    <w:rsid w:val="00412865"/>
    <w:rsid w:val="00415ADE"/>
    <w:rsid w:val="00420D57"/>
    <w:rsid w:val="00422D2B"/>
    <w:rsid w:val="00441A14"/>
    <w:rsid w:val="00445599"/>
    <w:rsid w:val="00471D25"/>
    <w:rsid w:val="00472B66"/>
    <w:rsid w:val="00477298"/>
    <w:rsid w:val="00484796"/>
    <w:rsid w:val="0048490C"/>
    <w:rsid w:val="00494C08"/>
    <w:rsid w:val="004A0715"/>
    <w:rsid w:val="004A1939"/>
    <w:rsid w:val="004F6BEB"/>
    <w:rsid w:val="005249E2"/>
    <w:rsid w:val="00525BB0"/>
    <w:rsid w:val="00525FDA"/>
    <w:rsid w:val="0055379D"/>
    <w:rsid w:val="0055411A"/>
    <w:rsid w:val="005578F6"/>
    <w:rsid w:val="00564340"/>
    <w:rsid w:val="00570D6E"/>
    <w:rsid w:val="00571E6B"/>
    <w:rsid w:val="005744A0"/>
    <w:rsid w:val="00581AE4"/>
    <w:rsid w:val="005851BA"/>
    <w:rsid w:val="005A4B81"/>
    <w:rsid w:val="005A709F"/>
    <w:rsid w:val="005C703E"/>
    <w:rsid w:val="005D0AE3"/>
    <w:rsid w:val="005D553E"/>
    <w:rsid w:val="005E246A"/>
    <w:rsid w:val="00620EAB"/>
    <w:rsid w:val="006250EC"/>
    <w:rsid w:val="0062585A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0694E"/>
    <w:rsid w:val="00732917"/>
    <w:rsid w:val="00762D9F"/>
    <w:rsid w:val="00763605"/>
    <w:rsid w:val="00765EDA"/>
    <w:rsid w:val="00782876"/>
    <w:rsid w:val="007907BE"/>
    <w:rsid w:val="007B0166"/>
    <w:rsid w:val="007B72F1"/>
    <w:rsid w:val="007D129B"/>
    <w:rsid w:val="007D524D"/>
    <w:rsid w:val="007D62FD"/>
    <w:rsid w:val="007E131B"/>
    <w:rsid w:val="007E182F"/>
    <w:rsid w:val="007E2A67"/>
    <w:rsid w:val="007E6B57"/>
    <w:rsid w:val="00801095"/>
    <w:rsid w:val="008020AB"/>
    <w:rsid w:val="00814B11"/>
    <w:rsid w:val="0081598C"/>
    <w:rsid w:val="008326A7"/>
    <w:rsid w:val="00861358"/>
    <w:rsid w:val="008615E2"/>
    <w:rsid w:val="00872576"/>
    <w:rsid w:val="0087538D"/>
    <w:rsid w:val="008854BA"/>
    <w:rsid w:val="00897F63"/>
    <w:rsid w:val="008B1A33"/>
    <w:rsid w:val="008B5BBE"/>
    <w:rsid w:val="008C0853"/>
    <w:rsid w:val="008D1388"/>
    <w:rsid w:val="008E1824"/>
    <w:rsid w:val="008F60A9"/>
    <w:rsid w:val="00903939"/>
    <w:rsid w:val="009050DC"/>
    <w:rsid w:val="00913FBE"/>
    <w:rsid w:val="00924C5B"/>
    <w:rsid w:val="009265CC"/>
    <w:rsid w:val="0093348E"/>
    <w:rsid w:val="0094746B"/>
    <w:rsid w:val="00957538"/>
    <w:rsid w:val="009656E0"/>
    <w:rsid w:val="009855DD"/>
    <w:rsid w:val="0099133A"/>
    <w:rsid w:val="009E1826"/>
    <w:rsid w:val="009E256C"/>
    <w:rsid w:val="009E772D"/>
    <w:rsid w:val="009F26FD"/>
    <w:rsid w:val="00A00F05"/>
    <w:rsid w:val="00A02B58"/>
    <w:rsid w:val="00A46CDE"/>
    <w:rsid w:val="00A539D4"/>
    <w:rsid w:val="00A7130D"/>
    <w:rsid w:val="00A76CF7"/>
    <w:rsid w:val="00A84EDB"/>
    <w:rsid w:val="00A937B8"/>
    <w:rsid w:val="00AA1CC8"/>
    <w:rsid w:val="00AB264E"/>
    <w:rsid w:val="00AC524D"/>
    <w:rsid w:val="00AD5F3F"/>
    <w:rsid w:val="00AD6406"/>
    <w:rsid w:val="00AE77C8"/>
    <w:rsid w:val="00AE7E51"/>
    <w:rsid w:val="00B10C76"/>
    <w:rsid w:val="00B20070"/>
    <w:rsid w:val="00B348BA"/>
    <w:rsid w:val="00B50CDF"/>
    <w:rsid w:val="00B9221F"/>
    <w:rsid w:val="00B949E6"/>
    <w:rsid w:val="00BB7CDB"/>
    <w:rsid w:val="00BC0ED2"/>
    <w:rsid w:val="00BC28E1"/>
    <w:rsid w:val="00BD39FF"/>
    <w:rsid w:val="00BE30A5"/>
    <w:rsid w:val="00C02358"/>
    <w:rsid w:val="00C14490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0554F"/>
    <w:rsid w:val="00D217AC"/>
    <w:rsid w:val="00D32DF8"/>
    <w:rsid w:val="00D4152D"/>
    <w:rsid w:val="00D41A62"/>
    <w:rsid w:val="00D46879"/>
    <w:rsid w:val="00D52B48"/>
    <w:rsid w:val="00D55B7C"/>
    <w:rsid w:val="00D750A2"/>
    <w:rsid w:val="00DB3BBC"/>
    <w:rsid w:val="00DC112A"/>
    <w:rsid w:val="00DD41C0"/>
    <w:rsid w:val="00DD5019"/>
    <w:rsid w:val="00DD5C72"/>
    <w:rsid w:val="00DE62D1"/>
    <w:rsid w:val="00E242A8"/>
    <w:rsid w:val="00E31511"/>
    <w:rsid w:val="00E3438D"/>
    <w:rsid w:val="00E40D0E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C619A"/>
    <w:rsid w:val="00EE6374"/>
    <w:rsid w:val="00F03738"/>
    <w:rsid w:val="00F109E4"/>
    <w:rsid w:val="00F12892"/>
    <w:rsid w:val="00F20A0F"/>
    <w:rsid w:val="00F319E6"/>
    <w:rsid w:val="00F41CA4"/>
    <w:rsid w:val="00F50C76"/>
    <w:rsid w:val="00F532FD"/>
    <w:rsid w:val="00F842AD"/>
    <w:rsid w:val="00F96AC7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4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A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684E-147C-45EF-B00C-98CE68F7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42</cp:revision>
  <dcterms:created xsi:type="dcterms:W3CDTF">2022-04-12T14:43:00Z</dcterms:created>
  <dcterms:modified xsi:type="dcterms:W3CDTF">2022-04-15T17:55:00Z</dcterms:modified>
</cp:coreProperties>
</file>