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48"/>
        </w:rPr>
        <w:t>Jordan Henning</w:t>
      </w:r>
    </w:p>
    <w:p>
      <w:pPr>
        <w:spacing w:before="0" w:after="40" w:line="276" w:lineRule="auto"/>
      </w:pPr>
      <w:r>
        <w:rPr>
          <w:rFonts w:ascii="Calibri" w:hAnsi="Calibri" w:cs="Calibri" w:eastAsia="Calibri"/>
          <w:b/>
          <w:i w:val="0"/>
          <w:color w:val="1F4E8C"/>
          <w:sz w:val="22"/>
        </w:rPr>
        <w:t>Federal Services Delivery Executive  ·  17+ years SSA  ·  FAC-P/PM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 w:val="0"/>
          <w:color w:val="556077"/>
          <w:sz w:val="20"/>
        </w:rPr>
        <w:t>York, PA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JordanHenning32@yahoo.com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330-280-0642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jordanhenning.com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linkedin.com/in/jordan-henning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·  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>github.com/jordanhenning32</w:t>
      </w:r>
    </w:p>
    <w:p>
      <w:pPr>
        <w:spacing w:before="40" w:after="120" w:line="276" w:lineRule="auto"/>
        <w:pBdr>
          <w:bottom w:val="single" w:sz="6" w:space="1" w:color="0B224D"/>
        </w:pBdr>
      </w:pP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EXECUTIVE SUMMARY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80" w:line="276" w:lineRule="auto"/>
      </w:pPr>
      <w:r>
        <w:rPr>
          <w:rFonts w:ascii="Calibri" w:hAnsi="Calibri" w:cs="Calibri" w:eastAsia="Calibri"/>
          <w:b/>
          <w:i w:val="0"/>
          <w:color w:val="1A1F2C"/>
          <w:sz w:val="22"/>
        </w:rPr>
        <w:t>Federal IT executive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17 years at the Social Security Administration, culminating in three years as Branch Chief — manager-of-managers over 12 direct reports and 340 field IT staff across 170 nationwide Hearings Offices serving 7,000+ employees.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High Risk clearance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held throughout SSA tenure (2008–2025), eligible to reinstate.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certified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; familiar with GSA MAS Schedule, STARS III, 8(a)/SDVOSB/HUBZone, IDIQ/BPA, FedRAMP, and ATO governance. SSA Commissioner Award (2021) for emergency COVID-19 service delivery. 101st Airborne combat veteran (Bronze Star, Purple Heart). Now layered with hands-on multi-agent AI fluency for federal AI service delivery. Targeting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senior federal IT leadership roles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federal contractors, federal services firms, defense AI services, or regulated commercial roles where federal experience and clearance are core.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HEADLINE OUTCOMES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Manager-of-managers as Branch Chief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12 direct reports + 340 field IT across 170 nationwide offices serving 7,000+ employees at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99.9% availability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$200M+ Agile IT portfolio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delivered on-time, under-budget over multi-year federal programs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· ATO governance across SSA mission-critical systems · GSA MAS, STARS III, 8(a)/SDVOSB/HUBZone, IDIQ/BPA pursuit experience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20× cycle-time compression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enterprise proposal workflow via personally-built multi-agent AI system (40 labor hours → 2)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over 3 years as Branch Chief;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4 of 4 mentees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promoted into PM leadership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EXPERIENCE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Chief Growth Officer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Quadratic Digital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April 2025 – Present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Designed and shipped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RFP Factory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multi-agent proposal automation that compresses 40-hour cycles into 2 hours (20× reduction).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Subcontracted Quadratic into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Nava on CMS modernization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; won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two PA ITQ vehicles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; qualified into PA Small Disadvantaged Business program; pursuing capture across GSA MAS, STARS III, 8(a)/SDVOSB/HUBZone, IDIQ/BPA.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FedRAMP-certified delivery posture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with ATO-aligned controls — federal compliance baseline as the starting point, not an afterthought.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Executing cross-sector growth strategy across federal and commercial markets; winning strategic contracts in regulated environments where service delivery and AI maturity have to coexist.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Branch Chief, Hearings Office IT Oversight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January 2022 – April 2025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Reduced system downtime 20%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through enhanced monitoring, dashboards, and ITIL-driven continual service improvement.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Owned end-to-end service strategy, incident/escalation management, and SLA/KPI governance for a 24/7 federal operation;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FedRAMP / ATO governance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mission-critical systems; multimillion-dollar budgeting, procurement, and lifecycle refresh.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100% direct-report retention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across three-year tenure as manager-of-managers (12 direct, 340 indirect reports).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IT Project Manager (FAC-P/PM Certified)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September 2016 – January 2022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Spearheaded the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emergency COVID-19 medical document upload system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on MySSA — earned the SSA Commissioner Award. Partnered with the VA in 2016 on cross-agency disability-evidence sharing to accelerate veteran benefit approvals.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Led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centralized print services consolidation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— single-vendor architecture saving the agency millions annually; implemented agency-wide BI platform (Tableau + WebFocus); consolidated 7 legacy ODS into one Appeals Database.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Mentored 4 project managers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, all promoted into program leadership.</w:t>
      </w:r>
    </w:p>
    <w:p>
      <w:pPr>
        <w:spacing w:before="160" w:after="0" w:line="276" w:lineRule="auto"/>
      </w:pPr>
      <w:r>
        <w:rPr>
          <w:rFonts w:ascii="Calibri" w:hAnsi="Calibri" w:cs="Calibri" w:eastAsia="Calibri"/>
          <w:b/>
          <w:i w:val="0"/>
          <w:color w:val="1A1F2C"/>
          <w:sz w:val="24"/>
        </w:rPr>
        <w:t>Systems Analyst · Area Systems Coordinator · Claims Representative</w:t>
      </w:r>
      <w:r>
        <w:rPr>
          <w:rFonts w:ascii="Calibri" w:hAnsi="Calibri" w:cs="Calibri" w:eastAsia="Calibri"/>
          <w:b w:val="0"/>
          <w:i w:val="0"/>
          <w:color w:val="556077"/>
          <w:sz w:val="22"/>
        </w:rPr>
        <w:t xml:space="preserve">    ·  </w:t>
      </w:r>
      <w:r>
        <w:rPr>
          <w:rFonts w:ascii="Calibri" w:hAnsi="Calibri" w:cs="Calibri" w:eastAsia="Calibri"/>
          <w:b/>
          <w:i w:val="0"/>
          <w:color w:val="1F4E8C"/>
          <w:sz w:val="24"/>
        </w:rPr>
        <w:t>Social Security Administration</w:t>
      </w:r>
    </w:p>
    <w:p>
      <w:pPr>
        <w:spacing w:before="0" w:after="8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>August 2008 – September 2016</w:t>
      </w:r>
      <w:r>
        <w:rPr>
          <w:rFonts w:ascii="Calibri" w:hAnsi="Calibri" w:cs="Calibri" w:eastAsia="Calibri"/>
          <w:b w:val="0"/>
          <w:i w:val="0"/>
          <w:color w:val="556077"/>
          <w:sz w:val="20"/>
        </w:rPr>
        <w:t xml:space="preserve">    ·  </w:t>
      </w:r>
      <w:r>
        <w:rPr>
          <w:rFonts w:ascii="Calibri" w:hAnsi="Calibri" w:cs="Calibri" w:eastAsia="Calibri"/>
          <w:b w:val="0"/>
          <w:i/>
          <w:color w:val="556077"/>
          <w:sz w:val="20"/>
        </w:rPr>
        <w:t>Baltimore, MD</w:t>
      </w:r>
    </w:p>
    <w:p>
      <w:pPr>
        <w:spacing w:before="0" w:after="6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Reduced downtime 20% across high-volume beneficiary systems; delivered Tier-3 IT support across multiple field offices; contributed to early MySSA iterations.</w:t>
      </w:r>
    </w:p>
    <w:p>
      <w:pPr>
        <w:spacing w:before="12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Earlier: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U.S. Army, 101st Airborne Division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(2001–2009) — three combat tours (Iraq, Afghanistan), Bronze Star, Purple Heart.  ·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Software Developer at MTD Products (2007–2008).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RECOGNITION &amp; CREDENTIALS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SSA Commissioner Award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2021  ·  Presented by Acting Commissioner Kilolo Kijakazi for COVID-19 emergency document upload delivery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Bronze Star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 (Iraq combat tour)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Purple Heart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2006  ·  U.S. Army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FAC-P/PM Certification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2020  ·  Federal Acquisition Institute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Public Trust Clearance · High Risk Tier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Held throughout 17-year SSA tenure (2008–2025)  ·  Eligible to reinstate</w:t>
      </w:r>
    </w:p>
    <w:p>
      <w:pPr>
        <w:spacing w:before="200" w:after="8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>EDUCATION</w:t>
      </w:r>
    </w:p>
    <w:p>
      <w:pPr>
        <w:spacing w:before="0" w:after="120" w:line="276" w:lineRule="auto"/>
        <w:pBdr>
          <w:bottom w:val="single" w:sz="6" w:space="1" w:color="C9D3E2"/>
        </w:pBdr>
      </w:pP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Master of Business Administration (MBA)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Malone University  ·  2012</w:t>
      </w:r>
    </w:p>
    <w:p>
      <w:pPr>
        <w:spacing w:before="0" w:after="40" w:line="276" w:lineRule="auto"/>
        <w:ind w:left="360" w:hanging="259"/>
      </w:pPr>
      <w:r>
        <w:rPr>
          <w:rFonts w:ascii="Calibri" w:hAnsi="Calibri" w:cs="Calibri" w:eastAsia="Calibri"/>
          <w:b/>
          <w:i w:val="0"/>
          <w:color w:val="1F4E8C"/>
          <w:sz w:val="22"/>
        </w:rPr>
        <w:t xml:space="preserve">•  </w:t>
      </w:r>
      <w:r>
        <w:rPr>
          <w:rFonts w:ascii="Calibri" w:hAnsi="Calibri" w:cs="Calibri" w:eastAsia="Calibri"/>
          <w:b/>
          <w:i w:val="0"/>
          <w:color w:val="1A1F2C"/>
          <w:sz w:val="22"/>
        </w:rPr>
        <w:t>B.A., Computer Information Systems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 xml:space="preserve">  ·  Kent State University  ·  2007</w:t>
      </w:r>
    </w:p>
    <w:p>
      <w:pPr>
        <w:spacing w:before="80" w:after="40" w:line="276" w:lineRule="auto"/>
      </w:pPr>
      <w:r>
        <w:rPr>
          <w:rFonts w:ascii="Calibri" w:hAnsi="Calibri" w:cs="Calibri" w:eastAsia="Calibri"/>
          <w:b/>
          <w:i w:val="0"/>
          <w:color w:val="0B224D"/>
          <w:sz w:val="22"/>
        </w:rPr>
        <w:t xml:space="preserve">Veteran status:  </w:t>
      </w:r>
      <w:r>
        <w:rPr>
          <w:rFonts w:ascii="Calibri" w:hAnsi="Calibri" w:cs="Calibri" w:eastAsia="Calibri"/>
          <w:b w:val="0"/>
          <w:i w:val="0"/>
          <w:color w:val="1A1F2C"/>
          <w:sz w:val="22"/>
        </w:rPr>
        <w:t>Service-connected disabled veteran  ·  Veterans Preference eligible.</w:t>
      </w:r>
    </w:p>
    <w:p>
      <w:pPr>
        <w:spacing w:before="160" w:after="40" w:line="276" w:lineRule="auto"/>
      </w:pPr>
      <w:r>
        <w:rPr>
          <w:rFonts w:ascii="Calibri" w:hAnsi="Calibri" w:cs="Calibri" w:eastAsia="Calibri"/>
          <w:b w:val="0"/>
          <w:i/>
          <w:color w:val="556077"/>
          <w:sz w:val="20"/>
        </w:rPr>
        <w:t xml:space="preserve">Full version + writing samples + chatbot Q&amp;A:  </w:t>
      </w:r>
      <w:r>
        <w:rPr>
          <w:rFonts w:ascii="Calibri" w:hAnsi="Calibri" w:cs="Calibri" w:eastAsia="Calibri"/>
          <w:b/>
          <w:i/>
          <w:color w:val="1F4E8C"/>
          <w:sz w:val="20"/>
        </w:rPr>
        <w:t>jordanhenning.com</w:t>
      </w:r>
    </w:p>
    <w:sectPr w:rsidR="00FC693F" w:rsidRPr="0006063C" w:rsidSect="00034616">
      <w:pgSz w:w="12240" w:h="15840"/>
      <w:pgMar w:top="624" w:right="850" w:bottom="62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