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008D060E">
        <w:rPr>
          <w:rFonts w:ascii="Arial" w:hAnsi="Arial" w:cs="Arial"/>
          <w:sz w:val="20"/>
        </w:rPr>
        <w:t>Liane  black  and  miriam   Black</w:t>
      </w:r>
    </w:p>
    <w:p w:rsidR="00B472D9" w:rsidRPr="00B472D9" w:rsidRDefault="00B472D9">
      <w:pPr>
        <w:rPr>
          <w:rFonts w:ascii="Arial" w:hAnsi="Arial" w:cs="Arial"/>
          <w:sz w:val="20"/>
        </w:rPr>
      </w:pPr>
    </w:p>
    <w:p w:rsidR="00B472D9" w:rsidRPr="00B472D9" w:rsidRDefault="008D060E">
      <w:pPr>
        <w:rPr>
          <w:rFonts w:ascii="Arial" w:hAnsi="Arial" w:cs="Arial"/>
          <w:sz w:val="20"/>
        </w:rPr>
      </w:pPr>
      <w:r>
        <w:rPr>
          <w:rFonts w:ascii="Arial" w:hAnsi="Arial" w:cs="Arial"/>
          <w:sz w:val="20"/>
        </w:rPr>
        <w:t>This is the Mathematics report for Liane black.  This report is based on his/her June exam results written at High School Die Wilgers</w:t>
      </w:r>
    </w:p>
    <w:p w:rsidR="00B472D9" w:rsidRPr="00B472D9" w:rsidRDefault="00B472D9">
      <w:pPr>
        <w:rPr>
          <w:rFonts w:ascii="Arial" w:hAnsi="Arial" w:cs="Arial"/>
          <w:sz w:val="20"/>
        </w:rPr>
      </w:pPr>
    </w:p>
    <w:p w:rsidR="00B472D9" w:rsidRPr="00B472D9" w:rsidRDefault="008D060E">
      <w:pPr>
        <w:rPr>
          <w:rFonts w:ascii="Arial" w:hAnsi="Arial" w:cs="Arial"/>
          <w:sz w:val="20"/>
        </w:rPr>
      </w:pPr>
      <w:r>
        <w:rPr>
          <w:rFonts w:ascii="Arial" w:hAnsi="Arial" w:cs="Arial"/>
          <w:sz w:val="20"/>
        </w:rPr>
        <w:t>High School Die Wilgers</w:t>
      </w:r>
    </w:p>
    <w:p w:rsidR="00B472D9" w:rsidRPr="00B472D9" w:rsidRDefault="00B472D9">
      <w:pPr>
        <w:rPr>
          <w:rFonts w:ascii="Arial" w:hAnsi="Arial" w:cs="Arial"/>
          <w:sz w:val="20"/>
        </w:rPr>
      </w:pPr>
    </w:p>
    <w:p w:rsidR="00B472D9" w:rsidRPr="00B472D9" w:rsidRDefault="008D060E">
      <w:pPr>
        <w:rPr>
          <w:rFonts w:ascii="Arial" w:hAnsi="Arial" w:cs="Arial"/>
          <w:sz w:val="20"/>
        </w:rPr>
      </w:pPr>
      <w:r>
        <w:rPr>
          <w:rFonts w:ascii="Arial" w:hAnsi="Arial" w:cs="Arial"/>
          <w:noProof/>
          <w:sz w:val="20"/>
        </w:rPr>
        <w:drawing>
          <wp:inline distT="0" distB="0" distL="0" distR="0">
            <wp:extent cx="6480175" cy="64801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80175" cy="6480175"/>
                    </a:xfrm>
                    <a:prstGeom prst="rect">
                      <a:avLst/>
                    </a:prstGeom>
                  </pic:spPr>
                </pic:pic>
              </a:graphicData>
            </a:graphic>
          </wp:inline>
        </w:drawing>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B87037">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B119F7">
              <w:rPr>
                <w:rFonts w:ascii="Arial" w:hAnsi="Arial" w:cs="Arial"/>
                <w:color w:val="FFFFFF" w:themeColor="background1"/>
                <w:sz w:val="32"/>
                <w:szCs w:val="32"/>
              </w:rPr>
              <w:t>“</w:t>
            </w:r>
            <w:r w:rsidR="008D060E">
              <w:rPr>
                <w:rFonts w:ascii="Arial" w:hAnsi="Arial" w:cs="Arial"/>
                <w:color w:val="FFFFFF" w:themeColor="background1"/>
                <w:sz w:val="32"/>
                <w:szCs w:val="32"/>
              </w:rPr>
              <w:t>Liane</w:t>
            </w:r>
            <w:r w:rsidR="00B119F7">
              <w:rPr>
                <w:rFonts w:ascii="Arial" w:hAnsi="Arial" w:cs="Arial"/>
                <w:color w:val="FFFFFF" w:themeColor="background1"/>
                <w:sz w:val="32"/>
                <w:szCs w:val="32"/>
              </w:rPr>
              <w:t>”</w:t>
            </w:r>
            <w:r w:rsidRPr="00B472D9">
              <w:rPr>
                <w:rFonts w:ascii="Arial" w:hAnsi="Arial" w:cs="Arial"/>
                <w:color w:val="FFFFFF" w:themeColor="background1"/>
                <w:sz w:val="32"/>
                <w:szCs w:val="32"/>
              </w:rPr>
              <w:t>’s Maths Scores Intepretations</w:t>
            </w:r>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B87037">
        <w:tc>
          <w:tcPr>
            <w:tcW w:w="3964" w:type="dxa"/>
            <w:shd w:val="clear" w:color="auto" w:fill="B4C6E7" w:themeFill="accent1" w:themeFillTint="66"/>
          </w:tcPr>
          <w:p w:rsidR="00B472D9" w:rsidRDefault="008D060E" w:rsidP="00B472D9">
            <w:pPr>
              <w:rPr>
                <w:rFonts w:ascii="Arial" w:hAnsi="Arial" w:cs="Arial"/>
              </w:rPr>
            </w:pPr>
            <w:r>
              <w:rPr>
                <w:rFonts w:ascii="Arial" w:hAnsi="Arial" w:cs="Arial"/>
              </w:rPr>
              <w:lastRenderedPageBreak/>
              <w:t>32</w:t>
            </w:r>
            <w:r w:rsidR="00B472D9">
              <w:rPr>
                <w:rFonts w:ascii="Arial" w:hAnsi="Arial" w:cs="Arial"/>
              </w:rPr>
              <w:t xml:space="preserve">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B119F7">
        <w:rPr>
          <w:rFonts w:ascii="Arial" w:hAnsi="Arial" w:cs="Arial"/>
          <w:b/>
          <w:sz w:val="20"/>
        </w:rPr>
        <w:t>“</w:t>
      </w:r>
      <w:r w:rsidR="008D060E">
        <w:rPr>
          <w:rFonts w:ascii="Arial" w:hAnsi="Arial" w:cs="Arial"/>
          <w:b/>
          <w:sz w:val="20"/>
        </w:rPr>
        <w:t>Liane</w:t>
      </w:r>
      <w:r w:rsidR="00B119F7">
        <w:rPr>
          <w:rFonts w:ascii="Arial" w:hAnsi="Arial" w:cs="Arial"/>
          <w:b/>
          <w:sz w:val="20"/>
        </w:rPr>
        <w:t>”</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B472D9" w:rsidRPr="002D632E" w:rsidRDefault="00B472D9">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8D060E" w:rsidP="00955E7A">
            <w:pPr>
              <w:rPr>
                <w:rFonts w:ascii="Arial" w:hAnsi="Arial" w:cs="Arial"/>
              </w:rPr>
            </w:pPr>
            <w:r>
              <w:rPr>
                <w:rFonts w:ascii="Arial" w:hAnsi="Arial" w:cs="Arial"/>
              </w:rPr>
              <w:t>30</w:t>
            </w:r>
            <w:r w:rsidR="00955E7A">
              <w:rPr>
                <w:rFonts w:ascii="Arial" w:hAnsi="Arial" w:cs="Arial"/>
              </w:rPr>
              <w:t xml:space="preserve"> %</w:t>
            </w:r>
          </w:p>
        </w:tc>
      </w:tr>
    </w:tbl>
    <w:p w:rsidR="002D632E" w:rsidRPr="00B70908" w:rsidRDefault="002D632E">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r w:rsidRPr="00E16054">
        <w:rPr>
          <w:rFonts w:ascii="Arial" w:hAnsi="Arial" w:cs="Arial"/>
          <w:b/>
          <w:sz w:val="20"/>
        </w:rPr>
        <w:t>rich language</w:t>
      </w:r>
      <w:r w:rsidRPr="00B70908">
        <w:rPr>
          <w:rFonts w:ascii="Arial" w:hAnsi="Arial" w:cs="Arial"/>
          <w:b/>
          <w:sz w:val="20"/>
        </w:rPr>
        <w:t xml:space="preserve"> were REMOVED from the score, </w:t>
      </w:r>
      <w:r w:rsidR="00B119F7">
        <w:rPr>
          <w:rFonts w:ascii="Arial" w:hAnsi="Arial" w:cs="Arial"/>
          <w:b/>
          <w:sz w:val="20"/>
        </w:rPr>
        <w:t>“</w:t>
      </w:r>
      <w:r w:rsidR="008D060E">
        <w:rPr>
          <w:rFonts w:ascii="Arial" w:hAnsi="Arial" w:cs="Arial"/>
          <w:b/>
          <w:sz w:val="20"/>
        </w:rPr>
        <w:t>Liane</w:t>
      </w:r>
      <w:r w:rsidR="00B119F7">
        <w:rPr>
          <w:rFonts w:ascii="Arial" w:hAnsi="Arial" w:cs="Arial"/>
          <w:b/>
          <w:sz w:val="20"/>
        </w:rPr>
        <w:t>”</w:t>
      </w:r>
      <w:r w:rsidRPr="00B70908">
        <w:rPr>
          <w:rFonts w:ascii="Arial" w:hAnsi="Arial" w:cs="Arial"/>
          <w:b/>
          <w:sz w:val="20"/>
        </w:rPr>
        <w:t xml:space="preserve"> would have got:</w:t>
      </w:r>
    </w:p>
    <w:p w:rsidR="002D632E" w:rsidRDefault="002D632E">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B119F7">
        <w:rPr>
          <w:rFonts w:ascii="Arial" w:hAnsi="Arial" w:cs="Arial"/>
          <w:sz w:val="20"/>
        </w:rPr>
        <w:t>“</w:t>
      </w:r>
      <w:r w:rsidR="008D060E">
        <w:rPr>
          <w:rFonts w:ascii="Arial" w:hAnsi="Arial" w:cs="Arial"/>
          <w:sz w:val="20"/>
        </w:rPr>
        <w:t>Liane</w:t>
      </w:r>
      <w:r w:rsidR="00B119F7">
        <w:rPr>
          <w:rFonts w:ascii="Arial" w:hAnsi="Arial" w:cs="Arial"/>
          <w:sz w:val="20"/>
        </w:rPr>
        <w:t>”</w:t>
      </w:r>
      <w:r>
        <w:rPr>
          <w:rFonts w:ascii="Arial" w:hAnsi="Arial" w:cs="Arial"/>
          <w:sz w:val="20"/>
        </w:rPr>
        <w:t xml:space="preserve"> should focus largely on the reading and interpreting of questions. However, not only this, but there might be a resistance in </w:t>
      </w:r>
      <w:r w:rsidR="00FB323D">
        <w:rPr>
          <w:rFonts w:ascii="Arial" w:hAnsi="Arial" w:cs="Arial"/>
          <w:sz w:val="20"/>
        </w:rPr>
        <w:t>“</w:t>
      </w:r>
      <w:r w:rsidR="00955E7A">
        <w:rPr>
          <w:rFonts w:ascii="Arial" w:hAnsi="Arial" w:cs="Arial"/>
          <w:sz w:val="20"/>
        </w:rPr>
        <w:t>his”</w:t>
      </w:r>
      <w:r w:rsidR="00FB323D">
        <w:rPr>
          <w:rFonts w:ascii="Arial" w:hAnsi="Arial" w:cs="Arial"/>
          <w:sz w:val="20"/>
        </w:rPr>
        <w:t xml:space="preserve"> that avoids sum consisting of many words, and for this we suggest proper coaching in the practicing of past question papers.</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8D060E" w:rsidP="00955E7A">
            <w:pPr>
              <w:rPr>
                <w:rFonts w:ascii="Arial" w:hAnsi="Arial" w:cs="Arial"/>
              </w:rPr>
            </w:pPr>
            <w:r>
              <w:rPr>
                <w:rFonts w:ascii="Arial" w:hAnsi="Arial" w:cs="Arial"/>
              </w:rPr>
              <w:t>30</w:t>
            </w:r>
            <w:r w:rsidR="00955E7A">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B119F7">
        <w:rPr>
          <w:rFonts w:ascii="Arial" w:hAnsi="Arial" w:cs="Arial"/>
          <w:b/>
          <w:sz w:val="20"/>
        </w:rPr>
        <w:t>“</w:t>
      </w:r>
      <w:r w:rsidR="008D060E">
        <w:rPr>
          <w:rFonts w:ascii="Arial" w:hAnsi="Arial" w:cs="Arial"/>
          <w:b/>
          <w:sz w:val="20"/>
        </w:rPr>
        <w:t>Liane</w:t>
      </w:r>
      <w:r w:rsidR="00B119F7">
        <w:rPr>
          <w:rFonts w:ascii="Arial" w:hAnsi="Arial" w:cs="Arial"/>
          <w:b/>
          <w:sz w:val="20"/>
        </w:rPr>
        <w:t>”</w:t>
      </w:r>
      <w:r w:rsidRPr="00B70908">
        <w:rPr>
          <w:rFonts w:ascii="Arial" w:hAnsi="Arial" w:cs="Arial"/>
          <w:b/>
          <w:sz w:val="20"/>
        </w:rPr>
        <w:t xml:space="preserve"> use </w:t>
      </w:r>
      <w:r w:rsidR="00B70908" w:rsidRPr="00B70908">
        <w:rPr>
          <w:rFonts w:ascii="Arial" w:hAnsi="Arial" w:cs="Arial"/>
          <w:b/>
          <w:sz w:val="20"/>
        </w:rPr>
        <w:t>“</w:t>
      </w:r>
      <w:r w:rsidRPr="00B70908">
        <w:rPr>
          <w:rFonts w:ascii="Arial" w:hAnsi="Arial" w:cs="Arial"/>
          <w:b/>
          <w:sz w:val="20"/>
        </w:rPr>
        <w:t>his</w:t>
      </w:r>
      <w:r w:rsidR="00B70908" w:rsidRPr="00B70908">
        <w:rPr>
          <w:rFonts w:ascii="Arial" w:hAnsi="Arial" w:cs="Arial"/>
          <w:b/>
          <w:sz w:val="20"/>
        </w:rPr>
        <w:t>“</w:t>
      </w:r>
      <w:r w:rsidRPr="00B70908">
        <w:rPr>
          <w:rFonts w:ascii="Arial" w:hAnsi="Arial" w:cs="Arial"/>
          <w:b/>
          <w:sz w:val="20"/>
        </w:rPr>
        <w:t xml:space="preserve"> calculator during the assessment:</w:t>
      </w:r>
    </w:p>
    <w:p w:rsidR="00391622"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7E2536">
        <w:rPr>
          <w:rFonts w:ascii="Arial" w:hAnsi="Arial" w:cs="Arial"/>
          <w:sz w:val="20"/>
        </w:rPr>
        <w:t>“</w:t>
      </w:r>
      <w:r w:rsidR="008D060E">
        <w:rPr>
          <w:rFonts w:ascii="Arial" w:hAnsi="Arial" w:cs="Arial"/>
          <w:sz w:val="20"/>
        </w:rPr>
        <w:t>Liane</w:t>
      </w:r>
      <w:r w:rsidR="007E2536">
        <w:rPr>
          <w:rFonts w:ascii="Arial" w:hAnsi="Arial" w:cs="Arial"/>
          <w:sz w:val="20"/>
        </w:rPr>
        <w:t>”</w:t>
      </w:r>
      <w:r>
        <w:rPr>
          <w:rFonts w:ascii="Arial" w:hAnsi="Arial" w:cs="Arial"/>
          <w:sz w:val="20"/>
        </w:rPr>
        <w:t xml:space="preserve"> </w:t>
      </w:r>
      <w:r w:rsidR="00311D78">
        <w:rPr>
          <w:rFonts w:ascii="Arial" w:hAnsi="Arial" w:cs="Arial"/>
          <w:sz w:val="20"/>
        </w:rPr>
        <w:t>masters “his” calculator.</w:t>
      </w:r>
    </w:p>
    <w:p w:rsidR="00EF5AFA" w:rsidRPr="00BB2D9A" w:rsidRDefault="00391622" w:rsidP="00391622">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B87037">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B119F7">
              <w:rPr>
                <w:rFonts w:ascii="Arial" w:hAnsi="Arial" w:cs="Arial"/>
                <w:color w:val="FFFFFF" w:themeColor="background1"/>
                <w:sz w:val="32"/>
                <w:szCs w:val="32"/>
              </w:rPr>
              <w:t>“</w:t>
            </w:r>
            <w:r w:rsidR="008D060E">
              <w:rPr>
                <w:rFonts w:ascii="Arial" w:hAnsi="Arial" w:cs="Arial"/>
                <w:color w:val="FFFFFF" w:themeColor="background1"/>
                <w:sz w:val="32"/>
                <w:szCs w:val="32"/>
              </w:rPr>
              <w:t>Liane</w:t>
            </w:r>
            <w:r w:rsidR="00B119F7">
              <w:rPr>
                <w:rFonts w:ascii="Arial" w:hAnsi="Arial" w:cs="Arial"/>
                <w:color w:val="FFFFFF" w:themeColor="background1"/>
                <w:sz w:val="32"/>
                <w:szCs w:val="32"/>
              </w:rPr>
              <w:t>”</w:t>
            </w:r>
            <w:r w:rsidRPr="00EF5AFA">
              <w:rPr>
                <w:rFonts w:ascii="Arial" w:hAnsi="Arial" w:cs="Arial"/>
                <w:color w:val="FFFFFF" w:themeColor="background1"/>
                <w:sz w:val="32"/>
                <w:szCs w:val="32"/>
              </w:rPr>
              <w:t xml:space="preserve"> Score Per Topic?</w:t>
            </w:r>
          </w:p>
        </w:tc>
      </w:tr>
    </w:tbl>
    <w:p w:rsidR="0021422C" w:rsidRDefault="0021422C" w:rsidP="0021422C">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B87037" w:rsidTr="000F2A6F">
        <w:tc>
          <w:tcPr>
            <w:tcW w:w="4673" w:type="dxa"/>
            <w:hideMark/>
          </w:tcPr>
          <w:tbl>
            <w:tblPr>
              <w:tblW w:w="4400" w:type="dxa"/>
              <w:tblLook w:val="0000" w:firstRow="0" w:lastRow="0" w:firstColumn="0" w:lastColumn="0" w:noHBand="0" w:noVBand="0"/>
            </w:tblPr>
            <w:tblGrid>
              <w:gridCol w:w="3400"/>
              <w:gridCol w:w="1000"/>
            </w:tblGrid>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Topic</w:t>
                  </w:r>
                </w:p>
              </w:tc>
              <w:tc>
                <w:tcPr>
                  <w:tcW w:w="1000" w:type="dxa"/>
                </w:tcPr>
                <w:p w:rsidR="008D060E" w:rsidRDefault="008D060E" w:rsidP="000F2A6F">
                  <w:pPr>
                    <w:ind w:rightChars="-49" w:right="-118"/>
                    <w:rPr>
                      <w:rFonts w:ascii="Arial" w:hAnsi="Arial" w:cs="Arial"/>
                      <w:sz w:val="20"/>
                    </w:rPr>
                  </w:pPr>
                  <w:r>
                    <w:rPr>
                      <w:rFonts w:ascii="Arial" w:hAnsi="Arial" w:cs="Arial"/>
                      <w:sz w:val="20"/>
                    </w:rPr>
                    <w:t>Score</w:t>
                  </w:r>
                </w:p>
              </w:tc>
            </w:tr>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Exponential Equations</w:t>
                  </w:r>
                </w:p>
              </w:tc>
              <w:tc>
                <w:tcPr>
                  <w:tcW w:w="1000" w:type="dxa"/>
                </w:tcPr>
                <w:p w:rsidR="008D060E" w:rsidRDefault="008D060E" w:rsidP="000F2A6F">
                  <w:pPr>
                    <w:ind w:rightChars="-49" w:right="-118"/>
                    <w:rPr>
                      <w:rFonts w:ascii="Arial" w:hAnsi="Arial" w:cs="Arial"/>
                      <w:sz w:val="20"/>
                    </w:rPr>
                  </w:pPr>
                  <w:r>
                    <w:rPr>
                      <w:rFonts w:ascii="Arial" w:hAnsi="Arial" w:cs="Arial"/>
                      <w:sz w:val="20"/>
                    </w:rPr>
                    <w:t>40</w:t>
                  </w:r>
                </w:p>
              </w:tc>
            </w:tr>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Euclidean Geometry</w:t>
                  </w:r>
                </w:p>
              </w:tc>
              <w:tc>
                <w:tcPr>
                  <w:tcW w:w="1000" w:type="dxa"/>
                </w:tcPr>
                <w:p w:rsidR="008D060E" w:rsidRDefault="008D060E" w:rsidP="000F2A6F">
                  <w:pPr>
                    <w:ind w:rightChars="-49" w:right="-118"/>
                    <w:rPr>
                      <w:rFonts w:ascii="Arial" w:hAnsi="Arial" w:cs="Arial"/>
                      <w:sz w:val="20"/>
                    </w:rPr>
                  </w:pPr>
                  <w:r>
                    <w:rPr>
                      <w:rFonts w:ascii="Arial" w:hAnsi="Arial" w:cs="Arial"/>
                      <w:sz w:val="20"/>
                    </w:rPr>
                    <w:t>30</w:t>
                  </w:r>
                </w:p>
              </w:tc>
            </w:tr>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Quadratic Equations</w:t>
                  </w:r>
                </w:p>
              </w:tc>
              <w:tc>
                <w:tcPr>
                  <w:tcW w:w="1000" w:type="dxa"/>
                </w:tcPr>
                <w:p w:rsidR="008D060E" w:rsidRDefault="008D060E" w:rsidP="000F2A6F">
                  <w:pPr>
                    <w:ind w:rightChars="-49" w:right="-118"/>
                    <w:rPr>
                      <w:rFonts w:ascii="Arial" w:hAnsi="Arial" w:cs="Arial"/>
                      <w:sz w:val="20"/>
                    </w:rPr>
                  </w:pPr>
                  <w:r>
                    <w:rPr>
                      <w:rFonts w:ascii="Arial" w:hAnsi="Arial" w:cs="Arial"/>
                      <w:sz w:val="20"/>
                    </w:rPr>
                    <w:t>50</w:t>
                  </w:r>
                </w:p>
              </w:tc>
            </w:tr>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Number System</w:t>
                  </w:r>
                </w:p>
              </w:tc>
              <w:tc>
                <w:tcPr>
                  <w:tcW w:w="1000" w:type="dxa"/>
                </w:tcPr>
                <w:p w:rsidR="008D060E" w:rsidRDefault="008D060E" w:rsidP="000F2A6F">
                  <w:pPr>
                    <w:ind w:rightChars="-49" w:right="-118"/>
                    <w:rPr>
                      <w:rFonts w:ascii="Arial" w:hAnsi="Arial" w:cs="Arial"/>
                      <w:sz w:val="20"/>
                    </w:rPr>
                  </w:pPr>
                  <w:r>
                    <w:rPr>
                      <w:rFonts w:ascii="Arial" w:hAnsi="Arial" w:cs="Arial"/>
                      <w:sz w:val="20"/>
                    </w:rPr>
                    <w:t>50</w:t>
                  </w:r>
                </w:p>
              </w:tc>
            </w:tr>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Algebraic Expressions</w:t>
                  </w:r>
                </w:p>
              </w:tc>
              <w:tc>
                <w:tcPr>
                  <w:tcW w:w="1000" w:type="dxa"/>
                </w:tcPr>
                <w:p w:rsidR="008D060E" w:rsidRDefault="008D060E" w:rsidP="000F2A6F">
                  <w:pPr>
                    <w:ind w:rightChars="-49" w:right="-118"/>
                    <w:rPr>
                      <w:rFonts w:ascii="Arial" w:hAnsi="Arial" w:cs="Arial"/>
                      <w:sz w:val="20"/>
                    </w:rPr>
                  </w:pPr>
                  <w:r>
                    <w:rPr>
                      <w:rFonts w:ascii="Arial" w:hAnsi="Arial" w:cs="Arial"/>
                      <w:sz w:val="20"/>
                    </w:rPr>
                    <w:t>10</w:t>
                  </w:r>
                </w:p>
              </w:tc>
            </w:tr>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Rates and Ratios</w:t>
                  </w:r>
                </w:p>
              </w:tc>
              <w:tc>
                <w:tcPr>
                  <w:tcW w:w="1000" w:type="dxa"/>
                </w:tcPr>
                <w:p w:rsidR="008D060E" w:rsidRDefault="008D060E" w:rsidP="000F2A6F">
                  <w:pPr>
                    <w:ind w:rightChars="-49" w:right="-118"/>
                    <w:rPr>
                      <w:rFonts w:ascii="Arial" w:hAnsi="Arial" w:cs="Arial"/>
                      <w:sz w:val="20"/>
                    </w:rPr>
                  </w:pPr>
                  <w:r>
                    <w:rPr>
                      <w:rFonts w:ascii="Arial" w:hAnsi="Arial" w:cs="Arial"/>
                      <w:sz w:val="20"/>
                    </w:rPr>
                    <w:t>20</w:t>
                  </w:r>
                </w:p>
              </w:tc>
            </w:tr>
            <w:tr w:rsidR="008D060E" w:rsidTr="008D060E">
              <w:tblPrEx>
                <w:tblCellMar>
                  <w:top w:w="0" w:type="dxa"/>
                  <w:bottom w:w="0" w:type="dxa"/>
                </w:tblCellMar>
              </w:tblPrEx>
              <w:tc>
                <w:tcPr>
                  <w:tcW w:w="3400" w:type="dxa"/>
                </w:tcPr>
                <w:p w:rsidR="008D060E" w:rsidRDefault="008D060E" w:rsidP="000F2A6F">
                  <w:pPr>
                    <w:ind w:rightChars="-49" w:right="-118"/>
                    <w:rPr>
                      <w:rFonts w:ascii="Arial" w:hAnsi="Arial" w:cs="Arial"/>
                      <w:sz w:val="20"/>
                    </w:rPr>
                  </w:pPr>
                  <w:r>
                    <w:rPr>
                      <w:rFonts w:ascii="Arial" w:hAnsi="Arial" w:cs="Arial"/>
                      <w:sz w:val="20"/>
                    </w:rPr>
                    <w:t>Number System</w:t>
                  </w:r>
                </w:p>
              </w:tc>
              <w:tc>
                <w:tcPr>
                  <w:tcW w:w="1000" w:type="dxa"/>
                </w:tcPr>
                <w:p w:rsidR="008D060E" w:rsidRDefault="008D060E" w:rsidP="000F2A6F">
                  <w:pPr>
                    <w:ind w:rightChars="-49" w:right="-118"/>
                    <w:rPr>
                      <w:rFonts w:ascii="Arial" w:hAnsi="Arial" w:cs="Arial"/>
                      <w:sz w:val="20"/>
                    </w:rPr>
                  </w:pPr>
                  <w:r>
                    <w:rPr>
                      <w:rFonts w:ascii="Arial" w:hAnsi="Arial" w:cs="Arial"/>
                      <w:sz w:val="20"/>
                    </w:rPr>
                    <w:t>30</w:t>
                  </w:r>
                </w:p>
              </w:tc>
            </w:tr>
          </w:tbl>
          <w:p w:rsidR="00B87037" w:rsidRDefault="00B87037" w:rsidP="000F2A6F">
            <w:pPr>
              <w:ind w:leftChars="-43" w:left="-103" w:rightChars="-49" w:right="-118"/>
              <w:rPr>
                <w:rFonts w:ascii="Arial" w:hAnsi="Arial" w:cs="Arial"/>
                <w:sz w:val="20"/>
              </w:rPr>
            </w:pPr>
          </w:p>
        </w:tc>
        <w:tc>
          <w:tcPr>
            <w:tcW w:w="5522" w:type="dxa"/>
            <w:hideMark/>
          </w:tcPr>
          <w:p w:rsidR="00B87037" w:rsidRDefault="008D060E" w:rsidP="000F2A6F">
            <w:pPr>
              <w:ind w:leftChars="-44" w:left="-106" w:rightChars="-52" w:right="-125"/>
              <w:rPr>
                <w:rFonts w:ascii="Arial" w:hAnsi="Arial" w:cs="Arial"/>
                <w:sz w:val="20"/>
              </w:rPr>
            </w:pPr>
            <w:bookmarkStart w:id="0" w:name="_GoBack"/>
            <w:r>
              <w:rPr>
                <w:rFonts w:ascii="Arial" w:hAnsi="Arial" w:cs="Arial"/>
                <w:noProof/>
                <w:sz w:val="20"/>
              </w:rPr>
              <w:drawing>
                <wp:inline distT="0" distB="0" distL="0" distR="0">
                  <wp:extent cx="34290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tc>
      </w:tr>
    </w:tbl>
    <w:p w:rsidR="0021422C" w:rsidRDefault="0021422C" w:rsidP="0021422C">
      <w:pPr>
        <w:rPr>
          <w:rFonts w:ascii="Arial" w:hAnsi="Arial" w:cs="Arial"/>
          <w:sz w:val="20"/>
        </w:rPr>
      </w:pPr>
    </w:p>
    <w:p w:rsidR="00654612" w:rsidRDefault="00654612" w:rsidP="00654612">
      <w:pPr>
        <w:rPr>
          <w:rFonts w:ascii="Arial" w:hAnsi="Arial" w:cs="Arial"/>
          <w:sz w:val="20"/>
        </w:rPr>
      </w:pPr>
    </w:p>
    <w:p w:rsidR="00EF5AFA" w:rsidRPr="00EF5AFA" w:rsidRDefault="00EF5AFA">
      <w:pPr>
        <w:rPr>
          <w:rFonts w:ascii="Arial" w:hAnsi="Arial" w:cs="Arial"/>
          <w:sz w:val="20"/>
        </w:rPr>
      </w:pPr>
    </w:p>
    <w:sectPr w:rsidR="00EF5AFA" w:rsidRPr="00EF5AFA" w:rsidSect="00B87037">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2D9"/>
    <w:rsid w:val="00084CFA"/>
    <w:rsid w:val="000F2A6F"/>
    <w:rsid w:val="0011449E"/>
    <w:rsid w:val="0021422C"/>
    <w:rsid w:val="002D632E"/>
    <w:rsid w:val="00311D78"/>
    <w:rsid w:val="00391622"/>
    <w:rsid w:val="003F71FB"/>
    <w:rsid w:val="0053024E"/>
    <w:rsid w:val="00550259"/>
    <w:rsid w:val="00654612"/>
    <w:rsid w:val="007E2536"/>
    <w:rsid w:val="008D060E"/>
    <w:rsid w:val="00955E7A"/>
    <w:rsid w:val="00992771"/>
    <w:rsid w:val="00B119F7"/>
    <w:rsid w:val="00B472D9"/>
    <w:rsid w:val="00B70908"/>
    <w:rsid w:val="00B87037"/>
    <w:rsid w:val="00BB2D9A"/>
    <w:rsid w:val="00E04E20"/>
    <w:rsid w:val="00E16054"/>
    <w:rsid w:val="00EF5AFA"/>
    <w:rsid w:val="00F83B35"/>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662D"/>
  <w15:docId w15:val="{BB06D44B-8EE8-4E40-8A47-0CFEE31A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780730444">
      <w:bodyDiv w:val="1"/>
      <w:marLeft w:val="0"/>
      <w:marRight w:val="0"/>
      <w:marTop w:val="0"/>
      <w:marBottom w:val="0"/>
      <w:divBdr>
        <w:top w:val="none" w:sz="0" w:space="0" w:color="auto"/>
        <w:left w:val="none" w:sz="0" w:space="0" w:color="auto"/>
        <w:bottom w:val="none" w:sz="0" w:space="0" w:color="auto"/>
        <w:right w:val="none" w:sz="0" w:space="0" w:color="auto"/>
      </w:divBdr>
    </w:div>
    <w:div w:id="8812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package" Target="../embeddings/Microsoft_Excel_Worksheet.xlsx"/><Relationship Id="rId4"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 SCORE</c:v>
                </c:pt>
              </c:strCache>
            </c:strRef>
          </c:tx>
          <c:spPr>
            <a:solidFill>
              <a:schemeClr val="accent1"/>
            </a:solidFill>
            <a:ln>
              <a:noFill/>
            </a:ln>
            <a:effectLst/>
            <a:sp3d/>
          </c:spPr>
          <c:invertIfNegative val="0"/>
          <c:cat>
            <c:strRef>
              <c:f>Sheet1!$A$2:$A$8</c:f>
              <c:strCache>
                <c:ptCount val="7"/>
                <c:pt idx="0">
                  <c:v>Exponential Equations</c:v>
                </c:pt>
                <c:pt idx="1">
                  <c:v>Euclidean Geometry</c:v>
                </c:pt>
                <c:pt idx="2">
                  <c:v>Quadratic Equations</c:v>
                </c:pt>
                <c:pt idx="3">
                  <c:v>Number System</c:v>
                </c:pt>
                <c:pt idx="4">
                  <c:v>Algebraic Expressions</c:v>
                </c:pt>
                <c:pt idx="5">
                  <c:v>Rates and Ratios</c:v>
                </c:pt>
                <c:pt idx="6">
                  <c:v>Number System</c:v>
                </c:pt>
              </c:strCache>
            </c:strRef>
          </c:cat>
          <c:val>
            <c:numRef>
              <c:f>Sheet1!$B$2:$B$8</c:f>
              <c:numCache>
                <c:formatCode>General</c:formatCode>
                <c:ptCount val="7"/>
                <c:pt idx="0">
                  <c:v>40</c:v>
                </c:pt>
                <c:pt idx="1">
                  <c:v>30</c:v>
                </c:pt>
                <c:pt idx="2">
                  <c:v>50</c:v>
                </c:pt>
                <c:pt idx="3">
                  <c:v>50</c:v>
                </c:pt>
                <c:pt idx="4">
                  <c:v>10</c:v>
                </c:pt>
                <c:pt idx="5">
                  <c:v>20</c:v>
                </c:pt>
                <c:pt idx="6">
                  <c:v>30</c:v>
                </c:pt>
              </c:numCache>
            </c:numRef>
          </c:val>
          <c:extLst>
            <c:ext xmlns:c16="http://schemas.microsoft.com/office/drawing/2014/chart" uri="{C3380CC4-5D6E-409C-BE32-E72D297353CC}">
              <c16:uniqueId val="{00000000-BDA8-4D4F-8DAA-F05B86349F40}"/>
            </c:ext>
          </c:extLst>
        </c:ser>
        <c:dLbls>
          <c:showLegendKey val="0"/>
          <c:showVal val="0"/>
          <c:showCatName val="0"/>
          <c:showSerName val="0"/>
          <c:showPercent val="0"/>
          <c:showBubbleSize val="0"/>
        </c:dLbls>
        <c:gapWidth val="150"/>
        <c:shape val="box"/>
        <c:axId val="1859540832"/>
        <c:axId val="1615443136"/>
        <c:axId val="0"/>
      </c:bar3DChart>
      <c:catAx>
        <c:axId val="1859540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443136"/>
        <c:crosses val="autoZero"/>
        <c:auto val="1"/>
        <c:lblAlgn val="ctr"/>
        <c:lblOffset val="100"/>
        <c:noMultiLvlLbl val="0"/>
      </c:catAx>
      <c:valAx>
        <c:axId val="1615443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54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blipFill>
      <a:blip xmlns:r="http://schemas.openxmlformats.org/officeDocument/2006/relationships" r:embed="rId4"/>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49</TotalTime>
  <Pages>3</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31</cp:revision>
  <dcterms:created xsi:type="dcterms:W3CDTF">2022-08-29T22:28:00Z</dcterms:created>
  <dcterms:modified xsi:type="dcterms:W3CDTF">2022-09-19T01:58:00Z</dcterms:modified>
</cp:coreProperties>
</file>