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sz w:val="32"/>
          <w:szCs w:val="32"/>
        </w:rPr>
        <w:t xml:space="preserve">BUSINESS DEVELOPMENT REFERRAL AGREEMENT</w:t>
      </w:r>
    </w:p>
    <w:p>
      <w:pPr>
        <w:spacing w:after="80"/>
      </w:pPr>
      <w:r>
        <w:rPr>
          <w:b/>
          <w:bCs/>
        </w:rPr>
        <w:t xml:space="preserve">Between:</w:t>
      </w:r>
      <w:r>
        <w:t xml:space="preserve"> Kinsol LLC, a limited liability company organised under the laws of the State of [STATE, USA] ("Kinsol"), represented by Jordan Hays, Member</w:t>
      </w:r>
    </w:p>
    <w:p>
      <w:pPr>
        <w:spacing w:after="80"/>
      </w:pPr>
      <w:r>
        <w:rPr>
          <w:b/>
          <w:bCs/>
        </w:rPr>
        <w:t xml:space="preserve">And:</w:t>
      </w:r>
      <w:r>
        <w:t xml:space="preserve"> Placewell International [exact legal name and registration number], a company organised under the laws of the Republic of the Philippines ("Placewell"), represented by [Eleanor Escueta, title] (name spelling UNSURE, confirm)</w:t>
      </w:r>
    </w:p>
    <w:p>
      <w:pPr>
        <w:spacing w:after="80"/>
      </w:pPr>
      <w:r>
        <w:rPr>
          <w:b/>
          <w:bCs/>
        </w:rPr>
        <w:t xml:space="preserve">Effective date:</w:t>
      </w:r>
      <w:r>
        <w:t xml:space="preserve"> [DATE]. This Agreement records in writing the arrangement the Parties have operated verbally since [MONTH YEAR].</w:t>
      </w:r>
    </w:p>
    <w:p>
      <w:pPr>
        <w:spacing w:after="80"/>
      </w:pPr>
      <w:r>
        <w:t xml:space="preserve">Draft v1, 2026-09-07. Foundation document. Bracketed items are open. Not legal advice; see Review Notes at the end.</w:t>
      </w:r>
    </w:p>
    <w:p>
      <w:pPr>
        <w:pStyle w:val="Heading1"/>
        <w:spacing w:after="80" w:before="240"/>
      </w:pPr>
      <w:r>
        <w:rPr>
          <w:b/>
          <w:bCs/>
          <w:sz w:val="24"/>
          <w:szCs w:val="24"/>
        </w:rPr>
        <w:t xml:space="preserve">1. Purpose</w:t>
      </w:r>
    </w:p>
    <w:p>
      <w:pPr>
        <w:spacing w:after="80"/>
      </w:pPr>
      <w:r>
        <w:t xml:space="preserve">1.1 Placewell recruits and deploys Filipino workers to employers outside the Philippines under its Philippine licence.</w:t>
      </w:r>
    </w:p>
    <w:p>
      <w:pPr>
        <w:spacing w:after="80"/>
      </w:pPr>
      <w:r>
        <w:t xml:space="preserve">1.2 Kinsol identifies, contacts and introduces prospective employers to Placewell ("Business Development").</w:t>
      </w:r>
    </w:p>
    <w:p>
      <w:pPr>
        <w:spacing w:after="80"/>
      </w:pPr>
      <w:r>
        <w:t xml:space="preserve">1.3 Placewell pays Kinsol a fee for each worker deployed to an employer that Kinsol introduced.</w:t>
      </w:r>
    </w:p>
    <w:p>
      <w:pPr>
        <w:pStyle w:val="Heading1"/>
        <w:spacing w:after="80" w:before="240"/>
      </w:pPr>
      <w:r>
        <w:rPr>
          <w:b/>
          <w:bCs/>
          <w:sz w:val="24"/>
          <w:szCs w:val="24"/>
        </w:rPr>
        <w:t xml:space="preserve">2. Definitions</w:t>
      </w:r>
    </w:p>
    <w:p>
      <w:pPr>
        <w:spacing w:after="80"/>
      </w:pPr>
      <w:r>
        <w:t xml:space="preserve">2.1 </w:t>
      </w:r>
      <w:r>
        <w:rPr>
          <w:b/>
          <w:bCs/>
        </w:rPr>
        <w:t xml:space="preserve">Originated Employer</w:t>
      </w:r>
      <w:r>
        <w:t xml:space="preserve">: an employer, or a group company of that employer, whose first contact with Placewell resulted from Kinsol's outreach, and which is listed in the Origination Register (Schedule A) or added under clause 4.</w:t>
      </w:r>
    </w:p>
    <w:p>
      <w:pPr>
        <w:spacing w:after="80"/>
      </w:pPr>
      <w:r>
        <w:t xml:space="preserve">2.2 </w:t>
      </w:r>
      <w:r>
        <w:rPr>
          <w:b/>
          <w:bCs/>
        </w:rPr>
        <w:t xml:space="preserve">Employer Contract</w:t>
      </w:r>
      <w:r>
        <w:t xml:space="preserve">: any agreement between Placewell and an Originated Employer for the supply, recruitment or deployment of workers, including every renewal, extension, amendment, replacement contract and additional job order.</w:t>
      </w:r>
    </w:p>
    <w:p>
      <w:pPr>
        <w:spacing w:after="80"/>
      </w:pPr>
      <w:r>
        <w:t xml:space="preserve">2.3 </w:t>
      </w:r>
      <w:r>
        <w:rPr>
          <w:b/>
          <w:bCs/>
        </w:rPr>
        <w:t xml:space="preserve">Deployed Worker</w:t>
      </w:r>
      <w:r>
        <w:t xml:space="preserve">: a worker who commences employment with, or departs the Philippines for, an Originated Employer under an Employer Contract.</w:t>
      </w:r>
    </w:p>
    <w:p>
      <w:pPr>
        <w:spacing w:after="80"/>
      </w:pPr>
      <w:r>
        <w:t xml:space="preserve">2.4 </w:t>
      </w:r>
      <w:r>
        <w:rPr>
          <w:b/>
          <w:bCs/>
        </w:rPr>
        <w:t xml:space="preserve">Fee</w:t>
      </w:r>
      <w:r>
        <w:t xml:space="preserve">: the amount in clause 3.1.</w:t>
      </w:r>
    </w:p>
    <w:p>
      <w:pPr>
        <w:pStyle w:val="Heading1"/>
        <w:spacing w:after="80" w:before="240"/>
      </w:pPr>
      <w:r>
        <w:rPr>
          <w:b/>
          <w:bCs/>
          <w:sz w:val="24"/>
          <w:szCs w:val="24"/>
        </w:rPr>
        <w:t xml:space="preserve">3. Fee</w:t>
      </w:r>
    </w:p>
    <w:p>
      <w:pPr>
        <w:spacing w:after="80"/>
      </w:pPr>
      <w:r>
        <w:t xml:space="preserve">3.1 Placewell pays Kinsol </w:t>
      </w:r>
      <w:r>
        <w:rPr>
          <w:b/>
          <w:bCs/>
        </w:rPr>
        <w:t xml:space="preserve">USD 100 (one hundred US dollars)</w:t>
      </w:r>
      <w:r>
        <w:t xml:space="preserve"> for each Deployed Worker.</w:t>
      </w:r>
    </w:p>
    <w:p>
      <w:pPr>
        <w:spacing w:after="80"/>
      </w:pPr>
      <w:r>
        <w:t xml:space="preserve">3.2 The Fee applies to every Deployed Worker for the </w:t>
      </w:r>
      <w:r>
        <w:rPr>
          <w:b/>
          <w:bCs/>
        </w:rPr>
        <w:t xml:space="preserve">entire life of the Employer Contract</w:t>
      </w:r>
      <w:r>
        <w:t xml:space="preserve">, including renewals, extensions and additional job orders, regardless of whether Kinsol is involved after the introduction.</w:t>
      </w:r>
    </w:p>
    <w:p>
      <w:pPr>
        <w:spacing w:after="80"/>
      </w:pPr>
      <w:r>
        <w:t xml:space="preserve">3.3 A replacement worker supplied at no charge to the employer within Placewell's guarantee period [does / does not] trigger a further Fee. [DEFAULT: does not.]</w:t>
      </w:r>
    </w:p>
    <w:p>
      <w:pPr>
        <w:spacing w:after="80"/>
      </w:pPr>
      <w:r>
        <w:t xml:space="preserve">3.4 The Fee is not reduced by any discount, rebate or commission Placewell grants to the employer or to any third party.</w:t>
      </w:r>
    </w:p>
    <w:p>
      <w:pPr>
        <w:spacing w:after="80"/>
      </w:pPr>
      <w:r>
        <w:t xml:space="preserve">3.5 Fees are exclusive of VAT or similar taxes. Each Party bears its own income taxes. [Withholding: if Philippine law requires Placewell to withhold tax on payments to Kinsol, Placewell provides the withholding certificate so Kinsol can claim credit. CPA to confirm.]</w:t>
      </w:r>
    </w:p>
    <w:p>
      <w:pPr>
        <w:pStyle w:val="Heading1"/>
        <w:spacing w:after="80" w:before="240"/>
      </w:pPr>
      <w:r>
        <w:rPr>
          <w:b/>
          <w:bCs/>
          <w:sz w:val="24"/>
          <w:szCs w:val="24"/>
        </w:rPr>
        <w:t xml:space="preserve">4. Origination Register</w:t>
      </w:r>
    </w:p>
    <w:p>
      <w:pPr>
        <w:spacing w:after="80"/>
      </w:pPr>
      <w:r>
        <w:t xml:space="preserve">4.1 Schedule A lists the Originated Employers at signature.</w:t>
      </w:r>
    </w:p>
    <w:p>
      <w:pPr>
        <w:spacing w:after="80"/>
      </w:pPr>
      <w:r>
        <w:t xml:space="preserve">4.2 Kinsol may add an employer by written notice (email is sufficient) stating the employer name, country, contact person and date of first contact. Placewell confirms or disputes within 10 business days; silence is confirmation.</w:t>
      </w:r>
    </w:p>
    <w:p>
      <w:pPr>
        <w:spacing w:after="80"/>
      </w:pPr>
      <w:r>
        <w:t xml:space="preserve">4.3 Where the Parties disagree on origination, the earliest dated written contact (email, LinkedIn message, call log) decides.</w:t>
      </w:r>
    </w:p>
    <w:p>
      <w:pPr>
        <w:spacing w:after="80"/>
      </w:pPr>
      <w:r>
        <w:t xml:space="preserve">4.4 An employer already in active written negotiation with Placewell before Kinsol's first contact is not an Originated Employer, provided Placewell shows dated evidence within the 10 business days.</w:t>
      </w:r>
    </w:p>
    <w:p>
      <w:pPr>
        <w:pStyle w:val="Heading1"/>
        <w:spacing w:after="80" w:before="240"/>
      </w:pPr>
      <w:r>
        <w:rPr>
          <w:b/>
          <w:bCs/>
          <w:sz w:val="24"/>
          <w:szCs w:val="24"/>
        </w:rPr>
        <w:t xml:space="preserve">5. Reporting and payment</w:t>
      </w:r>
    </w:p>
    <w:p>
      <w:pPr>
        <w:spacing w:after="80"/>
      </w:pPr>
      <w:r>
        <w:t xml:space="preserve">5.1 Within [10] days after each month end, Placewell sends Kinsol a statement listing, for that month, every Deployed Worker to every Originated Employer: worker reference, employer, deployment date, Employer Contract reference.</w:t>
      </w:r>
    </w:p>
    <w:p>
      <w:pPr>
        <w:spacing w:after="80"/>
      </w:pPr>
      <w:r>
        <w:t xml:space="preserve">5.2 Placewell pays the Fees on each statement within </w:t>
      </w:r>
      <w:r>
        <w:rPr>
          <w:b/>
          <w:bCs/>
        </w:rPr>
        <w:t xml:space="preserve">[30] days of the statement date</w:t>
      </w:r>
      <w:r>
        <w:t xml:space="preserve"> [ALTERNATIVE: within 30 days of Placewell receiving the corresponding employer payment; choose one].</w:t>
      </w:r>
    </w:p>
    <w:p>
      <w:pPr>
        <w:spacing w:after="80"/>
      </w:pPr>
      <w:r>
        <w:t xml:space="preserve">5.3 Payment is in USD by bank transfer to the account Kinsol nominates in writing. Each Party bears its own bank charges.</w:t>
      </w:r>
    </w:p>
    <w:p>
      <w:pPr>
        <w:spacing w:after="80"/>
      </w:pPr>
      <w:r>
        <w:t xml:space="preserve">5.4 Late amounts bear interest at [1%] per month or the maximum lawful rate, whichever is lower.</w:t>
      </w:r>
    </w:p>
    <w:p>
      <w:pPr>
        <w:spacing w:after="80"/>
      </w:pPr>
      <w:r>
        <w:t xml:space="preserve">5.5 Kinsol may, once per calendar year on 15 business days' notice, review Placewell's deployment records for Originated Employers to verify statements.</w:t>
      </w:r>
    </w:p>
    <w:p>
      <w:pPr>
        <w:pStyle w:val="Heading1"/>
        <w:spacing w:after="80" w:before="240"/>
      </w:pPr>
      <w:r>
        <w:rPr>
          <w:b/>
          <w:bCs/>
          <w:sz w:val="24"/>
          <w:szCs w:val="24"/>
        </w:rPr>
        <w:t xml:space="preserve">6. Kinsol's role and limits</w:t>
      </w:r>
    </w:p>
    <w:p>
      <w:pPr>
        <w:spacing w:after="80"/>
      </w:pPr>
      <w:r>
        <w:t xml:space="preserve">6.1 Kinsol acts as an independent introducer. Kinsol does not recruit, screen, process, document or deploy workers, and does not charge workers any fee.</w:t>
      </w:r>
    </w:p>
    <w:p>
      <w:pPr>
        <w:spacing w:after="80"/>
      </w:pPr>
      <w:r>
        <w:t xml:space="preserve">6.2 Placewell alone holds and complies with all licences and obligations for recruitment and deployment, including those of the Philippine Department of Migrant Workers, and with the laws of each destination country.</w:t>
      </w:r>
    </w:p>
    <w:p>
      <w:pPr>
        <w:spacing w:after="80"/>
      </w:pPr>
      <w:r>
        <w:t xml:space="preserve">6.3 Nothing in this Agreement makes either Party the agent, partner, employer or joint venturer of the other. Kinsol may not sign contracts on Placewell's behalf.</w:t>
      </w:r>
    </w:p>
    <w:p>
      <w:pPr>
        <w:spacing w:after="80"/>
      </w:pPr>
      <w:r>
        <w:t xml:space="preserve">6.4 Kinsol represents Placewell's services accurately and uses only marketing materials Placewell has approved.</w:t>
      </w:r>
    </w:p>
    <w:p>
      <w:pPr>
        <w:pStyle w:val="Heading1"/>
        <w:spacing w:after="80" w:before="240"/>
      </w:pPr>
      <w:r>
        <w:rPr>
          <w:b/>
          <w:bCs/>
          <w:sz w:val="24"/>
          <w:szCs w:val="24"/>
        </w:rPr>
        <w:t xml:space="preserve">7. Non-circumvention</w:t>
      </w:r>
    </w:p>
    <w:p>
      <w:pPr>
        <w:spacing w:after="80"/>
      </w:pPr>
      <w:r>
        <w:t xml:space="preserve">7.1 Placewell will not, directly or through an affiliate, subcontractor or related person, contract with an Originated Employer in a way designed to avoid the Fee.</w:t>
      </w:r>
    </w:p>
    <w:p>
      <w:pPr>
        <w:spacing w:after="80"/>
      </w:pPr>
      <w:r>
        <w:t xml:space="preserve">7.2 If it does, the Fee is payable as if the deployment had been made by Placewell.</w:t>
      </w:r>
    </w:p>
    <w:p>
      <w:pPr>
        <w:pStyle w:val="Heading1"/>
        <w:spacing w:after="80" w:before="240"/>
      </w:pPr>
      <w:r>
        <w:rPr>
          <w:b/>
          <w:bCs/>
          <w:sz w:val="24"/>
          <w:szCs w:val="24"/>
        </w:rPr>
        <w:t xml:space="preserve">8. Term and termination</w:t>
      </w:r>
    </w:p>
    <w:p>
      <w:pPr>
        <w:spacing w:after="80"/>
      </w:pPr>
      <w:r>
        <w:t xml:space="preserve">8.1 This Agreement starts on the Effective Date and continues until either Party gives [30] days' written notice.</w:t>
      </w:r>
    </w:p>
    <w:p>
      <w:pPr>
        <w:spacing w:after="80"/>
      </w:pPr>
      <w:r>
        <w:t xml:space="preserve">8.2 Termination does not affect Fees for Originated Employers listed or added before the termination date. Those Fees remain payable for the life of each Employer Contract, including renewals and extensions signed after termination.</w:t>
      </w:r>
    </w:p>
    <w:p>
      <w:pPr>
        <w:spacing w:after="80"/>
      </w:pPr>
      <w:r>
        <w:t xml:space="preserve">8.3 Either Party may terminate immediately for a material breach not cured within 15 days of written notice.</w:t>
      </w:r>
    </w:p>
    <w:p>
      <w:pPr>
        <w:pStyle w:val="Heading1"/>
        <w:spacing w:after="80" w:before="240"/>
      </w:pPr>
      <w:r>
        <w:rPr>
          <w:b/>
          <w:bCs/>
          <w:sz w:val="24"/>
          <w:szCs w:val="24"/>
        </w:rPr>
        <w:t xml:space="preserve">9. Confidentiality</w:t>
      </w:r>
    </w:p>
    <w:p>
      <w:pPr>
        <w:spacing w:after="80"/>
      </w:pPr>
      <w:r>
        <w:t xml:space="preserve">9.1 Each Party keeps the other's non-public business information confidential and uses it only for this Agreement, for 3 years after termination.</w:t>
      </w:r>
    </w:p>
    <w:p>
      <w:pPr>
        <w:spacing w:after="80"/>
      </w:pPr>
      <w:r>
        <w:t xml:space="preserve">9.2 Employer identities and Fee terms are confidential.</w:t>
      </w:r>
    </w:p>
    <w:p>
      <w:pPr>
        <w:pStyle w:val="Heading1"/>
        <w:spacing w:after="80" w:before="240"/>
      </w:pPr>
      <w:r>
        <w:rPr>
          <w:b/>
          <w:bCs/>
          <w:sz w:val="24"/>
          <w:szCs w:val="24"/>
        </w:rPr>
        <w:t xml:space="preserve">10. General</w:t>
      </w:r>
    </w:p>
    <w:p>
      <w:pPr>
        <w:spacing w:after="80"/>
      </w:pPr>
      <w:r>
        <w:t xml:space="preserve">10.1 </w:t>
      </w:r>
      <w:r>
        <w:rPr>
          <w:b/>
          <w:bCs/>
        </w:rPr>
        <w:t xml:space="preserve">Governing law:</w:t>
      </w:r>
      <w:r>
        <w:t xml:space="preserve"> the laws of [the State of [STATE], USA — DEFAULT. Placewell may ask for the Republic of the Philippines. Either works; the dispute clause matters more].</w:t>
      </w:r>
    </w:p>
    <w:p>
      <w:pPr>
        <w:spacing w:after="80"/>
      </w:pPr>
      <w:r>
        <w:t xml:space="preserve">10.2 </w:t>
      </w:r>
      <w:r>
        <w:rPr>
          <w:b/>
          <w:bCs/>
        </w:rPr>
        <w:t xml:space="preserve">Disputes:</w:t>
      </w:r>
      <w:r>
        <w:t xml:space="preserve"> the Parties first negotiate in good faith for 30 days, then mediate, before any court action.</w:t>
      </w:r>
    </w:p>
    <w:p>
      <w:pPr>
        <w:spacing w:after="80"/>
      </w:pPr>
      <w:r>
        <w:t xml:space="preserve">10.3 </w:t>
      </w:r>
      <w:r>
        <w:rPr>
          <w:b/>
          <w:bCs/>
        </w:rPr>
        <w:t xml:space="preserve">Notices:</w:t>
      </w:r>
      <w:r>
        <w:t xml:space="preserve"> by email to jordan@placewell.io [confirm: Kinsol should use a non-Placewell address, e.g. a kinsol domain] and to [Placewell email], with a copy by courier for termination notices.</w:t>
      </w:r>
    </w:p>
    <w:p>
      <w:pPr>
        <w:spacing w:after="80"/>
      </w:pPr>
      <w:r>
        <w:t xml:space="preserve">10.4 This is the entire agreement and replaces the verbal arrangement. Changes must be in writing signed by both Parties.</w:t>
      </w:r>
    </w:p>
    <w:p>
      <w:pPr>
        <w:spacing w:after="80"/>
      </w:pPr>
      <w:r>
        <w:t xml:space="preserve">10.5 Neither Party may assign this Agreement without the other's consent, except Kinsol may assign it to an entity controlled by Jordan Hays on notice.</w:t>
      </w:r>
    </w:p>
    <w:p>
      <w:pPr>
        <w:spacing w:after="80"/>
      </w:pPr>
      <w:r>
        <w:t xml:space="preserve">10.6 Counterparts and electronic signatures are valid.</w:t>
      </w:r>
    </w:p>
    <w:p>
      <w:pPr>
        <w:pStyle w:val="Heading1"/>
        <w:spacing w:after="80" w:before="240"/>
      </w:pPr>
      <w:r>
        <w:rPr>
          <w:b/>
          <w:bCs/>
          <w:sz w:val="24"/>
          <w:szCs w:val="24"/>
        </w:rPr>
        <w:t xml:space="preserve">Signatures</w:t>
      </w:r>
    </w:p>
    <w:p>
      <w:pPr>
        <w:spacing w:after="80"/>
      </w:pPr>
      <w:r>
        <w:t xml:space="preserve">Kinsol LLC — Jordan Hays, Member — Date: ________</w:t>
      </w:r>
    </w:p>
    <w:p>
      <w:pPr>
        <w:spacing w:after="80"/>
      </w:pPr>
      <w:r>
        <w:t xml:space="preserve">Placewell International — [Eleanor Escueta, title] — Date: ________</w:t>
      </w:r>
    </w:p>
    <w:p>
      <w:pPr>
        <w:pStyle w:val="Heading1"/>
        <w:spacing w:after="80" w:before="240"/>
      </w:pPr>
      <w:r>
        <w:rPr>
          <w:b/>
          <w:bCs/>
          <w:sz w:val="24"/>
          <w:szCs w:val="24"/>
        </w:rPr>
        <w:t xml:space="preserve">Schedule A: Origination Register at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Pr>
          <w:p>
            <w:r>
              <w:rPr>
                <w:b/>
                <w:bCs/>
                <w:sz w:val="18"/>
                <w:szCs w:val="18"/>
              </w:rPr>
              <w:t xml:space="preserve">#</w:t>
            </w:r>
          </w:p>
        </w:tc>
        <w:tc>
          <w:tcPr>
            <w:tcW w:type="dxa" w:w="1560"/>
          </w:tcPr>
          <w:p>
            <w:r>
              <w:rPr>
                <w:b/>
                <w:bCs/>
                <w:sz w:val="18"/>
                <w:szCs w:val="18"/>
              </w:rPr>
              <w:t xml:space="preserve">Employer</w:t>
            </w:r>
          </w:p>
        </w:tc>
        <w:tc>
          <w:tcPr>
            <w:tcW w:type="dxa" w:w="1560"/>
          </w:tcPr>
          <w:p>
            <w:r>
              <w:rPr>
                <w:b/>
                <w:bCs/>
                <w:sz w:val="18"/>
                <w:szCs w:val="18"/>
              </w:rPr>
              <w:t xml:space="preserve">Country</w:t>
            </w:r>
          </w:p>
        </w:tc>
        <w:tc>
          <w:tcPr>
            <w:tcW w:type="dxa" w:w="1560"/>
          </w:tcPr>
          <w:p>
            <w:r>
              <w:rPr>
                <w:b/>
                <w:bCs/>
                <w:sz w:val="18"/>
                <w:szCs w:val="18"/>
              </w:rPr>
              <w:t xml:space="preserve">Contact</w:t>
            </w:r>
          </w:p>
        </w:tc>
        <w:tc>
          <w:tcPr>
            <w:tcW w:type="dxa" w:w="1560"/>
          </w:tcPr>
          <w:p>
            <w:r>
              <w:rPr>
                <w:b/>
                <w:bCs/>
                <w:sz w:val="18"/>
                <w:szCs w:val="18"/>
              </w:rPr>
              <w:t xml:space="preserve">Date of first contact</w:t>
            </w:r>
          </w:p>
        </w:tc>
        <w:tc>
          <w:tcPr>
            <w:tcW w:type="dxa" w:w="1560"/>
          </w:tcPr>
          <w:p>
            <w:r>
              <w:rPr>
                <w:b/>
                <w:bCs/>
                <w:sz w:val="18"/>
                <w:szCs w:val="18"/>
              </w:rPr>
              <w:t xml:space="preserve">Employer Contract status</w:t>
            </w:r>
          </w:p>
        </w:tc>
      </w:tr>
      <w:tr>
        <w:tc>
          <w:tcPr>
            <w:tcW w:type="dxa" w:w="1560"/>
          </w:tcPr>
          <w:p>
            <w:r>
              <w:rPr>
                <w:b w:val="false"/>
                <w:bCs w:val="false"/>
                <w:sz w:val="18"/>
                <w:szCs w:val="18"/>
              </w:rPr>
              <w:t xml:space="preserve">1</w:t>
            </w:r>
          </w:p>
        </w:tc>
        <w:tc>
          <w:tcPr>
            <w:tcW w:type="dxa" w:w="1560"/>
          </w:tcPr>
          <w:p>
            <w:r>
              <w:rPr>
                <w:b w:val="false"/>
                <w:bCs w:val="false"/>
                <w:sz w:val="18"/>
                <w:szCs w:val="18"/>
              </w:rPr>
              <w:t xml:space="preserve">[from the Czechia campaign]</w:t>
            </w:r>
          </w:p>
        </w:tc>
        <w:tc>
          <w:tcPr>
            <w:tcW w:type="dxa" w:w="1560"/>
          </w:tcPr>
          <w:p>
            <w:r>
              <w:rPr>
                <w:b w:val="false"/>
                <w:bCs w:val="false"/>
                <w:sz w:val="18"/>
                <w:szCs w:val="18"/>
              </w:rPr>
              <w:t xml:space="preserve">Czechia</w:t>
            </w:r>
          </w:p>
        </w:tc>
        <w:tc>
          <w:tcPr>
            <w:tcW w:type="dxa" w:w="1560"/>
          </w:tcPr>
          <w:p>
            <w:r>
              <w:rPr>
                <w:b w:val="false"/>
                <w:bCs w:val="false"/>
                <w:sz w:val="18"/>
                <w:szCs w:val="18"/>
              </w:rPr>
              <w:t xml:space="preserve"/>
            </w:r>
          </w:p>
        </w:tc>
        <w:tc>
          <w:tcPr>
            <w:tcW w:type="dxa" w:w="1560"/>
          </w:tcPr>
          <w:p>
            <w:r>
              <w:rPr>
                <w:b w:val="false"/>
                <w:bCs w:val="false"/>
                <w:sz w:val="18"/>
                <w:szCs w:val="18"/>
              </w:rPr>
              <w:t xml:space="preserve"/>
            </w:r>
          </w:p>
        </w:tc>
        <w:tc>
          <w:tcPr>
            <w:tcW w:type="dxa" w:w="1560"/>
          </w:tcPr>
          <w:p>
            <w:r>
              <w:rPr>
                <w:b w:val="false"/>
                <w:bCs w:val="false"/>
                <w:sz w:val="18"/>
                <w:szCs w:val="18"/>
              </w:rPr>
              <w:t xml:space="preserve"/>
            </w:r>
          </w:p>
        </w:tc>
      </w:tr>
      <w:tr>
        <w:tc>
          <w:tcPr>
            <w:tcW w:type="dxa" w:w="1560"/>
          </w:tcPr>
          <w:p>
            <w:r>
              <w:rPr>
                <w:b w:val="false"/>
                <w:bCs w:val="false"/>
                <w:sz w:val="18"/>
                <w:szCs w:val="18"/>
              </w:rPr>
              <w:t xml:space="preserve">2</w:t>
            </w:r>
          </w:p>
        </w:tc>
        <w:tc>
          <w:tcPr>
            <w:tcW w:type="dxa" w:w="1560"/>
          </w:tcPr>
          <w:p>
            <w:r>
              <w:rPr>
                <w:b w:val="false"/>
                <w:bCs w:val="false"/>
                <w:sz w:val="18"/>
                <w:szCs w:val="18"/>
              </w:rPr>
              <w:t xml:space="preserve"/>
            </w:r>
          </w:p>
        </w:tc>
        <w:tc>
          <w:tcPr>
            <w:tcW w:type="dxa" w:w="1560"/>
          </w:tcPr>
          <w:p>
            <w:r>
              <w:rPr>
                <w:b w:val="false"/>
                <w:bCs w:val="false"/>
                <w:sz w:val="18"/>
                <w:szCs w:val="18"/>
              </w:rPr>
              <w:t xml:space="preserve"/>
            </w:r>
          </w:p>
        </w:tc>
        <w:tc>
          <w:tcPr>
            <w:tcW w:type="dxa" w:w="1560"/>
          </w:tcPr>
          <w:p>
            <w:r>
              <w:rPr>
                <w:b w:val="false"/>
                <w:bCs w:val="false"/>
                <w:sz w:val="18"/>
                <w:szCs w:val="18"/>
              </w:rPr>
              <w:t xml:space="preserve"/>
            </w:r>
          </w:p>
        </w:tc>
        <w:tc>
          <w:tcPr>
            <w:tcW w:type="dxa" w:w="1560"/>
          </w:tcPr>
          <w:p>
            <w:r>
              <w:rPr>
                <w:b w:val="false"/>
                <w:bCs w:val="false"/>
                <w:sz w:val="18"/>
                <w:szCs w:val="18"/>
              </w:rPr>
              <w:t xml:space="preserve"/>
            </w:r>
          </w:p>
        </w:tc>
        <w:tc>
          <w:tcPr>
            <w:tcW w:type="dxa" w:w="1560"/>
          </w:tcPr>
          <w:p>
            <w:r>
              <w:rPr>
                <w:b w:val="false"/>
                <w:bCs w:val="false"/>
                <w:sz w:val="18"/>
                <w:szCs w:val="18"/>
              </w:rPr>
              <w:t xml:space="preserve"/>
            </w:r>
          </w:p>
        </w:tc>
      </w:tr>
    </w:tbl>
    <w:p/>
    <w:p>
      <w:pPr>
        <w:pStyle w:val="Heading1"/>
        <w:spacing w:after="80" w:before="240"/>
      </w:pPr>
      <w:r>
        <w:rPr>
          <w:b/>
          <w:bCs/>
          <w:sz w:val="24"/>
          <w:szCs w:val="24"/>
        </w:rPr>
        <w:t xml:space="preserve">Review Notes (delete before sending)</w:t>
      </w:r>
    </w:p>
    <w:p>
      <w:pPr>
        <w:spacing w:after="80"/>
      </w:pPr>
      <w:r>
        <w:t xml:space="preserve">1. </w:t>
      </w:r>
      <w:r>
        <w:rPr>
          <w:b/>
          <w:bCs/>
        </w:rPr>
        <w:t xml:space="preserve">Jordan's dual role.</w:t>
      </w:r>
      <w:r>
        <w:t xml:space="preserve"> Jordan signs Placewell emails as Director of Business Development. If Jordan is also a Placewell employee or officer, say so in a recital and confirm Placewell's board is fine with Kinsol being paid separately. Otherwise this looks like a conflict.</w:t>
      </w:r>
    </w:p>
    <w:p>
      <w:pPr>
        <w:spacing w:after="80"/>
      </w:pPr>
      <w:r>
        <w:t xml:space="preserve">2. </w:t>
      </w:r>
      <w:r>
        <w:rPr>
          <w:b/>
          <w:bCs/>
        </w:rPr>
        <w:t xml:space="preserve">Recruitment licensing.</w:t>
      </w:r>
      <w:r>
        <w:t xml:space="preserve"> Clause 6 is written so Kinsol is an introducer, not a recruiter. A Philippine lawyer should confirm that an unlicensed foreign introducer paid per deployed worker is permitted and that no fee is ever charged to a worker.</w:t>
      </w:r>
    </w:p>
    <w:p>
      <w:pPr>
        <w:spacing w:after="80"/>
      </w:pPr>
      <w:r>
        <w:t xml:space="preserve">3. </w:t>
      </w:r>
      <w:r>
        <w:rPr>
          <w:b/>
          <w:bCs/>
        </w:rPr>
        <w:t xml:space="preserve">Tax.</w:t>
      </w:r>
      <w:r>
        <w:t xml:space="preserve"> Philippine withholding on outbound service fees and US reporting for Kinsol. One question for the CPA.</w:t>
      </w:r>
    </w:p>
    <w:p>
      <w:pPr>
        <w:spacing w:after="80"/>
      </w:pPr>
      <w:r>
        <w:t xml:space="preserve">4. </w:t>
      </w:r>
      <w:r>
        <w:rPr>
          <w:b/>
          <w:bCs/>
        </w:rPr>
        <w:t xml:space="preserve">Which employer list.</w:t>
      </w:r>
      <w:r>
        <w:t xml:space="preserve"> Schedule A should be filled from the PISCO table before signing; every current sent prospect that converts should be on it.</w:t>
      </w:r>
    </w:p>
    <w:p>
      <w:pPr>
        <w:spacing w:after="80"/>
      </w:pPr>
      <w:r>
        <w:t xml:space="preserve">5. </w:t>
      </w:r>
      <w:r>
        <w:rPr>
          <w:b/>
          <w:bCs/>
        </w:rPr>
        <w:t xml:space="preserve">Payment trigger (5.2).</w:t>
      </w:r>
      <w:r>
        <w:t xml:space="preserve"> "30 days from statement" is better for Kinsol. "After employer pays" is what Placewell will ask for. Decide before sending.</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2026-09-06T09:38:56.781Z</dcterms:created>
  <dcterms:modified xsi:type="dcterms:W3CDTF">2026-09-06T09:38:56.782Z</dcterms:modified>
</cp:coreProperties>
</file>

<file path=docProps/custom.xml><?xml version="1.0" encoding="utf-8"?>
<Properties xmlns="http://schemas.openxmlformats.org/officeDocument/2006/custom-properties" xmlns:vt="http://schemas.openxmlformats.org/officeDocument/2006/docPropsVTypes"/>
</file>