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Jordan Hays</w:t>
      </w:r>
    </w:p>
    <w:p w:rsidR="00000000" w:rsidDel="00000000" w:rsidP="00000000" w:rsidRDefault="00000000" w:rsidRPr="00000000" w14:paraId="00000002">
      <w:pPr>
        <w:jc w:val="right"/>
        <w:rPr/>
      </w:pPr>
      <w:r w:rsidDel="00000000" w:rsidR="00000000" w:rsidRPr="00000000">
        <w:rPr>
          <w:rtl w:val="0"/>
        </w:rPr>
        <w:t xml:space="preserve">Country Economics</w:t>
      </w:r>
    </w:p>
    <w:p w:rsidR="00000000" w:rsidDel="00000000" w:rsidP="00000000" w:rsidRDefault="00000000" w:rsidRPr="00000000" w14:paraId="00000003">
      <w:pPr>
        <w:jc w:val="right"/>
        <w:rPr/>
      </w:pPr>
      <w:r w:rsidDel="00000000" w:rsidR="00000000" w:rsidRPr="00000000">
        <w:rPr>
          <w:rtl w:val="0"/>
        </w:rPr>
        <w:t xml:space="preserve">IMBA, Intl. Business </w:t>
      </w:r>
    </w:p>
    <w:p w:rsidR="00000000" w:rsidDel="00000000" w:rsidP="00000000" w:rsidRDefault="00000000" w:rsidRPr="00000000" w14:paraId="00000004">
      <w:pPr>
        <w:jc w:val="center"/>
        <w:rPr/>
      </w:pPr>
      <w:r w:rsidDel="00000000" w:rsidR="00000000" w:rsidRPr="00000000">
        <w:rPr>
          <w:rtl w:val="0"/>
        </w:rPr>
        <w:t xml:space="preserve">Africa Individual Assignment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After a careful analysis of the data, I narrowed the African countries I would invest in down to five and then picked one. I kept my criteria to four indicators. First, GDP growth, because I want a market that is getting bigger. Second, inflation, because high inflation eats the real return on anything I earn. Third, public debt as a share of GDP, because a government that cannot pay its debts ends up raising taxes, defaulting, or blocking capital from leaving. Fourth, the World Bank Control of Corruption score, because if contracts and property rights do not hold, none of the other numbers matter. As a tiebreaker I also looked at the current account balance and external debt, since the Mexico case showed how a deficit financed by foreign money can turn into a sudden stop.</w:t>
      </w:r>
    </w:p>
    <w:p w:rsidR="00000000" w:rsidDel="00000000" w:rsidP="00000000" w:rsidRDefault="00000000" w:rsidRPr="00000000" w14:paraId="00000009">
      <w:pPr>
        <w:rPr/>
      </w:pPr>
      <w:r w:rsidDel="00000000" w:rsidR="00000000" w:rsidRPr="00000000">
        <w:rPr>
          <w:rtl w:val="0"/>
        </w:rPr>
        <w:t xml:space="preserve">My top five were Ivory Coast, Botswana, Tanzania, Mauritius, and Senegal. Botswana was the safest: inflation of 2.7%, public debt of only 19.6% of GDP, a current account surplus, and the best governance scores on the mainland. Tanzania looked a lot like Ivory Coast, with 6.3% growth, 3.3% inflation, and debt at 38% of GDP, but it has a floating currency that loses value and a weaker business climate. Mauritius has the best institutions and business ranking in Africa, but at around $34,000 GDP per capita it is already rich, so the easy growth is behind it. Senegal shares Ivory Coast's currency and has decent governance, but its external debt is 151% of GNI and its current account deficit is almost 20% of GDP, which is too much leverage. The fast growers I left out, Nigeria and Ghana, grow at 9.4% and 7.4% but run inflation of 23% and 14%, so the real return disappears, and Ghana's debt of 73% of GDP already led to a default. Rwanda has great institutions but relies on aid for 9.5% of GNI and carries external debt of 94% of GNI.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looking at the data several different ways, my analysis came to Ivory Coast. I chose it for three main reasons. First, it grows at 6.5% a year with inflation of just 0.1%, so almost all of that growth is real return, which no other fast-growing country in the dataset can say. Second, its currency, the CFA franc, is pegged to the euro and backed by the French Treasury, so the devaluation risk that wiped out investors in Mexico in 1994 and in floating-currency African economies today does not apply, and as someone based in Europe I carry almost no exchange risk. Third, its debt is sustainable, with public debt at 47% of GDP and external debt at 49% of GNI, which is comfortable at that growth rate. On top of that, its GDP per capita of about $8,200 at PPP means capital is still scarce and earns high returns, foreign direct investment is flowing in at 2% of GDP while it is leaving Botswana, and it is the port and financial hub of the eight-country West African currency zone, with trade at 55% of GDP and workers moving out of farming into more productive sectors. The risks are real: its corruption and political stability scores are only mid-table, it sits next to Mali and Burkina Faso, and it depends heavily on cocoa. But those are risks an investor gets paid to take, and they can be managed by investing in sectors that ride the growth rather than the crop, like logistics, cement, banking, and consumer goods. Botswana is where I would park money to keep it safe. Ivory Coast is where I would put it to make a return.</w:t>
        <w:br w:type="textWrapping"/>
        <w:br w:type="textWrapping"/>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