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50"/>
        <w:jc w:val="center"/>
      </w:pPr>
      <w:r>
        <w:rPr>
          <w:rFonts w:ascii="Arial" w:cs="Arial" w:eastAsia="Arial" w:hAnsi="Arial"/>
          <w:b/>
          <w:bCs/>
          <w:color w:val="12272F"/>
          <w:sz w:val="36"/>
          <w:szCs w:val="36"/>
        </w:rPr>
        <w:t xml:space="preserve">HYBRID VACATIONS</w:t>
      </w:r>
    </w:p>
    <w:p>
      <w:pPr>
        <w:pBdr>
          <w:bottom w:val="single" w:color="70CFCB" w:sz="16" w:space="1"/>
        </w:pBdr>
        <w:spacing w:after="120"/>
        <w:jc w:val="center"/>
      </w:pPr>
      <w:r>
        <w:rPr>
          <w:sz w:val="6"/>
          <w:szCs w:val="6"/>
        </w:rPr>
        <w:t xml:space="preserve"> </w:t>
      </w:r>
    </w:p>
    <w:p>
      <w:pPr>
        <w:spacing w:after="40"/>
      </w:pPr>
    </w:p>
    <w:p>
      <w:pPr>
        <w:spacing w:after="40"/>
        <w:jc w:val="center"/>
      </w:pPr>
      <w:r>
        <w:rPr>
          <w:rFonts w:ascii="Arial" w:cs="Arial" w:eastAsia="Arial" w:hAnsi="Arial"/>
          <w:color w:val="12272F"/>
          <w:sz w:val="26"/>
          <w:szCs w:val="26"/>
        </w:rPr>
        <w:t xml:space="preserve">Coach Instagram Handles</w:t>
      </w:r>
    </w:p>
    <w:p>
      <w:pPr>
        <w:spacing w:after="200"/>
        <w:jc w:val="center"/>
      </w:pPr>
      <w:r>
        <w:rPr>
          <w:rFonts w:ascii="Arial" w:cs="Arial" w:eastAsia="Arial" w:hAnsi="Arial"/>
          <w:color w:val="6B7C85"/>
          <w:sz w:val="18"/>
          <w:szCs w:val="18"/>
        </w:rPr>
        <w:t xml:space="preserve">&amp; Standing Content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12"/>
              <w:bottom w:val="single" w:color="B45309" w:sz="12"/>
              <w:right w:val="single" w:color="B45309" w:sz="12"/>
            </w:tcBorders>
            <w:shd w:fill="FFF7ED" w:val="clear"/>
            <w:tcMar>
              <w:top w:type="dxa" w:w="120"/>
              <w:left w:type="dxa" w:w="160"/>
              <w:bottom w:type="dxa" w:w="120"/>
              <w:right w:type="dxa" w:w="160"/>
            </w:tcMar>
          </w:tcPr>
          <w:p>
            <w:pPr>
              <w:spacing w:after="60"/>
            </w:pPr>
            <w:r>
              <w:rPr>
                <w:rFonts w:ascii="Arial" w:cs="Arial" w:eastAsia="Arial" w:hAnsi="Arial"/>
                <w:b/>
                <w:bCs/>
                <w:color w:val="B45309"/>
                <w:sz w:val="18"/>
                <w:szCs w:val="18"/>
              </w:rPr>
              <w:t xml:space="preserve">STANDING RULE — MARKETING &amp; CONTENT</w:t>
            </w:r>
          </w:p>
          <w:p>
            <w:pPr>
              <w:spacing w:after="30"/>
            </w:pPr>
            <w:r>
              <w:rPr>
                <w:rFonts w:ascii="Arial" w:cs="Arial" w:eastAsia="Arial" w:hAnsi="Arial"/>
                <w:color w:val="12272F"/>
                <w:sz w:val="17"/>
                <w:szCs w:val="17"/>
              </w:rPr>
              <w:t xml:space="preserve">Deep Dish (including Deep Dish Beach, Deep Dish Vacations, Deep Dish Crystal Palace, or any related branding) must NOT appear in any Hybrid Vacations marketing, website copy, social content, sales materials, coach bios intended for public Hybrid use, or customer-facing communications.</w:t>
            </w:r>
          </w:p>
          <w:p>
            <w:pPr>
              <w:spacing w:after="30"/>
            </w:pPr>
            <w:r>
              <w:rPr>
                <w:rFonts w:ascii="Arial" w:cs="Arial" w:eastAsia="Arial" w:hAnsi="Arial"/>
                <w:color w:val="12272F"/>
                <w:sz w:val="17"/>
                <w:szCs w:val="17"/>
              </w:rPr>
              <w:t xml:space="preserve">Historical association may exist in internal research documents only. It is classified as HISTORICAL and must never transfer into external Hybrid messaging.</w:t>
            </w:r>
          </w:p>
          <w:p>
            <w:pPr>
              <w:spacing w:after="30"/>
            </w:pPr>
            <w:r>
              <w:rPr>
                <w:rFonts w:ascii="Arial" w:cs="Arial" w:eastAsia="Arial" w:hAnsi="Arial"/>
                <w:color w:val="12272F"/>
                <w:sz w:val="17"/>
                <w:szCs w:val="17"/>
              </w:rPr>
              <w:t xml:space="preserve">When writing coach profiles for Hybrid, describe playing and coaching credentials without naming Deep Dish as a current or past affiliation in public copy.</w:t>
            </w:r>
          </w:p>
        </w:tc>
      </w:tr>
    </w:tbl>
    <w:p>
      <w:pPr>
        <w:spacing w:after="200"/>
      </w:pPr>
    </w:p>
    <w:p>
      <w:pPr>
        <w:pStyle w:val="Heading1"/>
        <w:pBdr>
          <w:bottom w:val="single" w:color="70CFCB" w:sz="12" w:space="8"/>
        </w:pBdr>
        <w:spacing w:after="200" w:before="360"/>
      </w:pPr>
      <w:r>
        <w:rPr>
          <w:rFonts w:ascii="Arial" w:cs="Arial" w:eastAsia="Arial" w:hAnsi="Arial"/>
          <w:b/>
          <w:bCs/>
          <w:color w:val="12272F"/>
          <w:sz w:val="32"/>
          <w:szCs w:val="32"/>
        </w:rPr>
        <w:t xml:space="preserve">1. Instagram handles (public)</w:t>
      </w:r>
    </w:p>
    <w:p>
      <w:pPr>
        <w:spacing w:after="110" w:line="276"/>
      </w:pPr>
      <w:r>
        <w:rPr>
          <w:rFonts w:ascii="Arial" w:cs="Arial" w:eastAsia="Arial" w:hAnsi="Arial"/>
          <w:color w:val="12272F"/>
          <w:sz w:val="20"/>
          <w:szCs w:val="20"/>
        </w:rPr>
        <w:t xml:space="preserve">Handles below are the clearest public accounts identified from tags, athlete pages and official posts. Confirm with each coach before publishing on Hybrid channels.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0D7DB" w:sz="4"/>
              <w:left w:val="single" w:color="D0D7DB" w:sz="4"/>
              <w:bottom w:val="single" w:color="D0D7DB" w:sz="4"/>
              <w:right w:val="single" w:color="D0D7DB" w:sz="4"/>
            </w:tcBorders>
            <w:shd w:fill="E8F7F6" w:val="clear"/>
            <w:tcMar>
              <w:top w:type="dxa" w:w="50"/>
              <w:left w:type="dxa" w:w="90"/>
              <w:bottom w:type="dxa" w:w="50"/>
              <w:right w:type="dxa" w:w="90"/>
            </w:tcMar>
          </w:tcPr>
          <w:p>
            <w:r>
              <w:rPr>
                <w:rFonts w:ascii="Arial" w:cs="Arial" w:eastAsia="Arial" w:hAnsi="Arial"/>
                <w:b/>
                <w:bCs/>
                <w:color w:val="12272F"/>
                <w:sz w:val="16"/>
                <w:szCs w:val="16"/>
              </w:rPr>
              <w:t xml:space="preserve">Coach</w:t>
            </w:r>
          </w:p>
        </w:tc>
        <w:tc>
          <w:tcPr>
            <w:tcW w:type="dxa" w:w="3200"/>
            <w:tcBorders>
              <w:top w:val="single" w:color="D0D7DB" w:sz="4"/>
              <w:left w:val="single" w:color="D0D7DB" w:sz="4"/>
              <w:bottom w:val="single" w:color="D0D7DB" w:sz="4"/>
              <w:right w:val="single" w:color="D0D7DB" w:sz="4"/>
            </w:tcBorders>
            <w:shd w:fill="E8F7F6" w:val="clear"/>
            <w:tcMar>
              <w:top w:type="dxa" w:w="50"/>
              <w:left w:type="dxa" w:w="90"/>
              <w:bottom w:type="dxa" w:w="50"/>
              <w:right w:type="dxa" w:w="90"/>
            </w:tcMar>
          </w:tcPr>
          <w:p>
            <w:r>
              <w:rPr>
                <w:rFonts w:ascii="Arial" w:cs="Arial" w:eastAsia="Arial" w:hAnsi="Arial"/>
                <w:b/>
                <w:bCs/>
                <w:color w:val="12272F"/>
                <w:sz w:val="16"/>
                <w:szCs w:val="16"/>
              </w:rPr>
              <w:t xml:space="preserve">Instagram</w:t>
            </w:r>
          </w:p>
        </w:tc>
        <w:tc>
          <w:tcPr>
            <w:tcW w:type="dxa" w:w="2960"/>
            <w:tcBorders>
              <w:top w:val="single" w:color="D0D7DB" w:sz="4"/>
              <w:left w:val="single" w:color="D0D7DB" w:sz="4"/>
              <w:bottom w:val="single" w:color="D0D7DB" w:sz="4"/>
              <w:right w:val="single" w:color="D0D7DB" w:sz="4"/>
            </w:tcBorders>
            <w:shd w:fill="E8F7F6" w:val="clear"/>
            <w:tcMar>
              <w:top w:type="dxa" w:w="50"/>
              <w:left w:type="dxa" w:w="90"/>
              <w:bottom w:type="dxa" w:w="50"/>
              <w:right w:type="dxa" w:w="90"/>
            </w:tcMar>
          </w:tcPr>
          <w:p>
            <w:r>
              <w:rPr>
                <w:rFonts w:ascii="Arial" w:cs="Arial" w:eastAsia="Arial" w:hAnsi="Arial"/>
                <w:b/>
                <w:bCs/>
                <w:color w:val="12272F"/>
                <w:sz w:val="16"/>
                <w:szCs w:val="16"/>
              </w:rPr>
              <w:t xml:space="preserve">Confidence</w:t>
            </w:r>
          </w:p>
        </w:tc>
      </w:tr>
      <w:tr>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b/>
                <w:bCs/>
                <w:color w:val="12272F"/>
                <w:sz w:val="17"/>
                <w:szCs w:val="17"/>
              </w:rPr>
              <w:t xml:space="preserve">Mark Garcia-Kidd</w:t>
            </w:r>
          </w:p>
        </w:tc>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12272F"/>
                <w:sz w:val="17"/>
                <w:szCs w:val="17"/>
              </w:rPr>
              <w:t xml:space="preserve">@mgarciakidd</w:t>
            </w:r>
          </w:p>
        </w:tc>
        <w:tc>
          <w:tcPr>
            <w:tcW w:type="dxa" w:w="296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6B7C85"/>
                <w:sz w:val="16"/>
                <w:szCs w:val="16"/>
              </w:rPr>
              <w:t xml:space="preserve">High — used in Hybrid/partner content</w:t>
            </w:r>
          </w:p>
        </w:tc>
      </w:tr>
      <w:tr>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b/>
                <w:bCs/>
                <w:color w:val="12272F"/>
                <w:sz w:val="17"/>
                <w:szCs w:val="17"/>
              </w:rPr>
              <w:t xml:space="preserve">Martha Bullen</w:t>
            </w:r>
          </w:p>
        </w:tc>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12272F"/>
                <w:sz w:val="17"/>
                <w:szCs w:val="17"/>
              </w:rPr>
              <w:t xml:space="preserve">@_marthab</w:t>
            </w:r>
          </w:p>
        </w:tc>
        <w:tc>
          <w:tcPr>
            <w:tcW w:type="dxa" w:w="296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6B7C85"/>
                <w:sz w:val="16"/>
                <w:szCs w:val="16"/>
              </w:rPr>
              <w:t xml:space="preserve">High — tagged by Volleyball England &amp; camp posts</w:t>
            </w:r>
          </w:p>
        </w:tc>
      </w:tr>
      <w:tr>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b/>
                <w:bCs/>
                <w:color w:val="12272F"/>
                <w:sz w:val="17"/>
                <w:szCs w:val="17"/>
              </w:rPr>
              <w:t xml:space="preserve">Issa Batrane</w:t>
            </w:r>
          </w:p>
        </w:tc>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12272F"/>
                <w:sz w:val="17"/>
                <w:szCs w:val="17"/>
              </w:rPr>
              <w:t xml:space="preserve">@issabatrane</w:t>
            </w:r>
          </w:p>
        </w:tc>
        <w:tc>
          <w:tcPr>
            <w:tcW w:type="dxa" w:w="296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6B7C85"/>
                <w:sz w:val="16"/>
                <w:szCs w:val="16"/>
              </w:rPr>
              <w:t xml:space="preserve">High — official athlete account</w:t>
            </w:r>
          </w:p>
        </w:tc>
      </w:tr>
      <w:tr>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b/>
                <w:bCs/>
                <w:color w:val="12272F"/>
                <w:sz w:val="17"/>
                <w:szCs w:val="17"/>
              </w:rPr>
              <w:t xml:space="preserve">Dave Panah</w:t>
            </w:r>
          </w:p>
        </w:tc>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12272F"/>
                <w:sz w:val="17"/>
                <w:szCs w:val="17"/>
              </w:rPr>
              <w:t xml:space="preserve">Confirm with Dave</w:t>
            </w:r>
          </w:p>
        </w:tc>
        <w:tc>
          <w:tcPr>
            <w:tcW w:type="dxa" w:w="296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6B7C85"/>
                <w:sz w:val="16"/>
                <w:szCs w:val="16"/>
              </w:rPr>
              <w:t xml:space="preserve">No single clear personal handle locked publicly in research</w:t>
            </w:r>
          </w:p>
        </w:tc>
      </w:tr>
      <w:tr>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b/>
                <w:bCs/>
                <w:color w:val="12272F"/>
                <w:sz w:val="17"/>
                <w:szCs w:val="17"/>
              </w:rPr>
              <w:t xml:space="preserve">Marco Bonaria</w:t>
            </w:r>
          </w:p>
        </w:tc>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12272F"/>
                <w:sz w:val="17"/>
                <w:szCs w:val="17"/>
              </w:rPr>
              <w:t xml:space="preserve">Confirm with Marco</w:t>
            </w:r>
          </w:p>
        </w:tc>
        <w:tc>
          <w:tcPr>
            <w:tcW w:type="dxa" w:w="296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6B7C85"/>
                <w:sz w:val="16"/>
                <w:szCs w:val="16"/>
              </w:rPr>
              <w:t xml:space="preserve">No prominent personal handle found; appears via partner channels</w:t>
            </w:r>
          </w:p>
        </w:tc>
      </w:tr>
      <w:tr>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b/>
                <w:bCs/>
                <w:color w:val="12272F"/>
                <w:sz w:val="17"/>
                <w:szCs w:val="17"/>
              </w:rPr>
              <w:t xml:space="preserve">Katya / Katya Kate</w:t>
            </w:r>
          </w:p>
        </w:tc>
        <w:tc>
          <w:tcPr>
            <w:tcW w:type="dxa" w:w="320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12272F"/>
                <w:sz w:val="17"/>
                <w:szCs w:val="17"/>
              </w:rPr>
              <w:t xml:space="preserve">Confirm with Katya</w:t>
            </w:r>
          </w:p>
        </w:tc>
        <w:tc>
          <w:tcPr>
            <w:tcW w:type="dxa" w:w="2960"/>
            <w:tcBorders>
              <w:top w:val="single" w:color="D0D7DB" w:sz="4"/>
              <w:left w:val="single" w:color="D0D7DB" w:sz="4"/>
              <w:bottom w:val="single" w:color="D0D7DB" w:sz="4"/>
              <w:right w:val="single" w:color="D0D7DB" w:sz="4"/>
            </w:tcBorders>
            <w:tcMar>
              <w:top w:type="dxa" w:w="50"/>
              <w:left w:type="dxa" w:w="90"/>
              <w:bottom w:type="dxa" w:w="50"/>
              <w:right w:type="dxa" w:w="90"/>
            </w:tcMar>
          </w:tcPr>
          <w:p>
            <w:r>
              <w:rPr>
                <w:rFonts w:ascii="Arial" w:cs="Arial" w:eastAsia="Arial" w:hAnsi="Arial"/>
                <w:color w:val="6B7C85"/>
                <w:sz w:val="16"/>
                <w:szCs w:val="16"/>
              </w:rPr>
              <w:t xml:space="preserve">Appears in Hybrid codes (Katya15); handle not confirmed</w:t>
            </w:r>
          </w:p>
        </w:tc>
      </w:tr>
    </w:tbl>
    <w:p>
      <w:pPr>
        <w:spacing w:after="120"/>
      </w:pPr>
    </w:p>
    <w:p>
      <w:pPr>
        <w:spacing w:after="110" w:line="276"/>
      </w:pPr>
      <w:r>
        <w:rPr>
          <w:rFonts w:ascii="Arial" w:cs="Arial" w:eastAsia="Arial" w:hAnsi="Arial"/>
          <w:color w:val="12272F"/>
          <w:sz w:val="20"/>
          <w:szCs w:val="20"/>
        </w:rPr>
        <w:t xml:space="preserve">Also useful for tagging in Hybrid camp content when appropriate:</w:t>
      </w:r>
    </w:p>
    <w:p>
      <w:pPr>
        <w:pStyle w:val="ListParagraph"/>
        <w:numPr>
          <w:ilvl w:val="0"/>
          <w:numId w:val="2"/>
        </w:numPr>
        <w:spacing w:after="45" w:line="276"/>
      </w:pPr>
      <w:r>
        <w:rPr>
          <w:rFonts w:ascii="Arial" w:cs="Arial" w:eastAsia="Arial" w:hAnsi="Arial"/>
          <w:color w:val="12272F"/>
          <w:sz w:val="20"/>
          <w:szCs w:val="20"/>
        </w:rPr>
        <w:t xml:space="preserve">@hybridvacations — main Hybrid account</w:t>
      </w:r>
    </w:p>
    <w:p>
      <w:pPr>
        <w:pStyle w:val="ListParagraph"/>
        <w:numPr>
          <w:ilvl w:val="0"/>
          <w:numId w:val="2"/>
        </w:numPr>
        <w:spacing w:after="45" w:line="276"/>
      </w:pPr>
      <w:r>
        <w:rPr>
          <w:rFonts w:ascii="Arial" w:cs="Arial" w:eastAsia="Arial" w:hAnsi="Arial"/>
          <w:color w:val="12272F"/>
          <w:sz w:val="20"/>
          <w:szCs w:val="20"/>
        </w:rPr>
        <w:t xml:space="preserve">@beachvolleycamps.ch — confirmed collaboration partner (safe to reference)</w:t>
      </w:r>
    </w:p>
    <w:p>
      <w:pPr>
        <w:pStyle w:val="Heading1"/>
        <w:pBdr>
          <w:bottom w:val="single" w:color="70CFCB" w:sz="12" w:space="8"/>
        </w:pBdr>
        <w:spacing w:after="200" w:before="360"/>
      </w:pPr>
      <w:r>
        <w:rPr>
          <w:rFonts w:ascii="Arial" w:cs="Arial" w:eastAsia="Arial" w:hAnsi="Arial"/>
          <w:b/>
          <w:bCs/>
          <w:color w:val="12272F"/>
          <w:sz w:val="32"/>
          <w:szCs w:val="32"/>
        </w:rPr>
        <w:t xml:space="preserve">2. How to use handles in Hybrid content</w:t>
      </w:r>
    </w:p>
    <w:p>
      <w:pPr>
        <w:pStyle w:val="ListParagraph"/>
        <w:numPr>
          <w:ilvl w:val="0"/>
          <w:numId w:val="2"/>
        </w:numPr>
        <w:spacing w:after="45" w:line="276"/>
      </w:pPr>
      <w:r>
        <w:rPr>
          <w:rFonts w:ascii="Arial" w:cs="Arial" w:eastAsia="Arial" w:hAnsi="Arial"/>
          <w:color w:val="12272F"/>
          <w:sz w:val="20"/>
          <w:szCs w:val="20"/>
        </w:rPr>
        <w:t xml:space="preserve">Tag coaches on relevant camp announcement and coach-spotlight posts</w:t>
      </w:r>
    </w:p>
    <w:p>
      <w:pPr>
        <w:pStyle w:val="ListParagraph"/>
        <w:numPr>
          <w:ilvl w:val="0"/>
          <w:numId w:val="2"/>
        </w:numPr>
        <w:spacing w:after="45" w:line="276"/>
      </w:pPr>
      <w:r>
        <w:rPr>
          <w:rFonts w:ascii="Arial" w:cs="Arial" w:eastAsia="Arial" w:hAnsi="Arial"/>
          <w:color w:val="12272F"/>
          <w:sz w:val="20"/>
          <w:szCs w:val="20"/>
        </w:rPr>
        <w:t xml:space="preserve">Include handles on website coach cards only with their permission</w:t>
      </w:r>
    </w:p>
    <w:p>
      <w:pPr>
        <w:pStyle w:val="ListParagraph"/>
        <w:numPr>
          <w:ilvl w:val="0"/>
          <w:numId w:val="2"/>
        </w:numPr>
        <w:spacing w:after="45" w:line="276"/>
      </w:pPr>
      <w:r>
        <w:rPr>
          <w:rFonts w:ascii="Arial" w:cs="Arial" w:eastAsia="Arial" w:hAnsi="Arial"/>
          <w:color w:val="12272F"/>
          <w:sz w:val="20"/>
          <w:szCs w:val="20"/>
        </w:rPr>
        <w:t xml:space="preserve">Do not auto-assume handles remain current — re-check before major campaigns</w:t>
      </w:r>
    </w:p>
    <w:p>
      <w:pPr>
        <w:pStyle w:val="ListParagraph"/>
        <w:numPr>
          <w:ilvl w:val="0"/>
          <w:numId w:val="2"/>
        </w:numPr>
        <w:spacing w:after="45" w:line="276"/>
      </w:pPr>
      <w:r>
        <w:rPr>
          <w:rFonts w:ascii="Arial" w:cs="Arial" w:eastAsia="Arial" w:hAnsi="Arial"/>
          <w:color w:val="12272F"/>
          <w:sz w:val="20"/>
          <w:szCs w:val="20"/>
        </w:rPr>
        <w:t xml:space="preserve">When in doubt, ask the coach for the handle they want Hybrid to use</w:t>
      </w:r>
    </w:p>
    <w:p>
      <w:pPr>
        <w:pStyle w:val="Heading1"/>
        <w:pBdr>
          <w:bottom w:val="single" w:color="70CFCB" w:sz="12" w:space="8"/>
        </w:pBdr>
        <w:spacing w:after="200" w:before="360"/>
      </w:pPr>
      <w:r>
        <w:rPr>
          <w:rFonts w:ascii="Arial" w:cs="Arial" w:eastAsia="Arial" w:hAnsi="Arial"/>
          <w:b/>
          <w:bCs/>
          <w:color w:val="12272F"/>
          <w:sz w:val="32"/>
          <w:szCs w:val="32"/>
        </w:rPr>
        <w:t xml:space="preserve">3. Content rule reminder (apply to all future work)</w:t>
      </w:r>
    </w:p>
    <w:p>
      <w:pPr>
        <w:spacing w:after="110" w:line="276"/>
      </w:pPr>
      <w:r>
        <w:rPr>
          <w:rFonts w:ascii="Arial" w:cs="Arial" w:eastAsia="Arial" w:hAnsi="Arial"/>
          <w:b/>
          <w:bCs/>
          <w:color w:val="12272F"/>
          <w:sz w:val="20"/>
          <w:szCs w:val="20"/>
        </w:rPr>
        <w:t xml:space="preserve">Allowed in public Hybrid materials</w:t>
      </w:r>
    </w:p>
    <w:p>
      <w:pPr>
        <w:pStyle w:val="ListParagraph"/>
        <w:numPr>
          <w:ilvl w:val="0"/>
          <w:numId w:val="2"/>
        </w:numPr>
        <w:spacing w:after="45" w:line="276"/>
      </w:pPr>
      <w:r>
        <w:rPr>
          <w:rFonts w:ascii="Arial" w:cs="Arial" w:eastAsia="Arial" w:hAnsi="Arial"/>
          <w:color w:val="12272F"/>
          <w:sz w:val="20"/>
          <w:szCs w:val="20"/>
        </w:rPr>
        <w:t xml:space="preserve">England / GB / Wales / Swiss playing credentials</w:t>
      </w:r>
    </w:p>
    <w:p>
      <w:pPr>
        <w:pStyle w:val="ListParagraph"/>
        <w:numPr>
          <w:ilvl w:val="0"/>
          <w:numId w:val="2"/>
        </w:numPr>
        <w:spacing w:after="45" w:line="276"/>
      </w:pPr>
      <w:r>
        <w:rPr>
          <w:rFonts w:ascii="Arial" w:cs="Arial" w:eastAsia="Arial" w:hAnsi="Arial"/>
          <w:color w:val="12272F"/>
          <w:sz w:val="20"/>
          <w:szCs w:val="20"/>
        </w:rPr>
        <w:t xml:space="preserve">FIVB / Beach Pro Tour / UKBT results</w:t>
      </w:r>
    </w:p>
    <w:p>
      <w:pPr>
        <w:pStyle w:val="ListParagraph"/>
        <w:numPr>
          <w:ilvl w:val="0"/>
          <w:numId w:val="2"/>
        </w:numPr>
        <w:spacing w:after="45" w:line="276"/>
      </w:pPr>
      <w:r>
        <w:rPr>
          <w:rFonts w:ascii="Arial" w:cs="Arial" w:eastAsia="Arial" w:hAnsi="Arial"/>
          <w:color w:val="12272F"/>
          <w:sz w:val="20"/>
          <w:szCs w:val="20"/>
        </w:rPr>
        <w:t xml:space="preserve">Hybrid camp coaching roles</w:t>
      </w:r>
    </w:p>
    <w:p>
      <w:pPr>
        <w:pStyle w:val="ListParagraph"/>
        <w:numPr>
          <w:ilvl w:val="0"/>
          <w:numId w:val="2"/>
        </w:numPr>
        <w:spacing w:after="45" w:line="276"/>
      </w:pPr>
      <w:r>
        <w:rPr>
          <w:rFonts w:ascii="Arial" w:cs="Arial" w:eastAsia="Arial" w:hAnsi="Arial"/>
          <w:color w:val="12272F"/>
          <w:sz w:val="20"/>
          <w:szCs w:val="20"/>
        </w:rPr>
        <w:t xml:space="preserve">beachvolleycamps.ch collaboration (current partner)</w:t>
      </w:r>
    </w:p>
    <w:p>
      <w:pPr>
        <w:pStyle w:val="ListParagraph"/>
        <w:numPr>
          <w:ilvl w:val="0"/>
          <w:numId w:val="2"/>
        </w:numPr>
        <w:spacing w:after="45" w:line="276"/>
      </w:pPr>
      <w:r>
        <w:rPr>
          <w:rFonts w:ascii="Arial" w:cs="Arial" w:eastAsia="Arial" w:hAnsi="Arial"/>
          <w:color w:val="12272F"/>
          <w:sz w:val="20"/>
          <w:szCs w:val="20"/>
        </w:rPr>
        <w:t xml:space="preserve">Club playing (e.g. Richmond) where the coach is happy to publish it</w:t>
      </w:r>
    </w:p>
    <w:p>
      <w:pPr>
        <w:spacing w:after="110" w:line="276"/>
      </w:pPr>
      <w:r>
        <w:rPr>
          <w:rFonts w:ascii="Arial" w:cs="Arial" w:eastAsia="Arial" w:hAnsi="Arial"/>
          <w:b/>
          <w:bCs/>
          <w:color w:val="12272F"/>
          <w:sz w:val="20"/>
          <w:szCs w:val="20"/>
        </w:rPr>
        <w:t xml:space="preserve">Not allowed in public Hybrid materials</w:t>
      </w:r>
    </w:p>
    <w:p>
      <w:pPr>
        <w:pStyle w:val="ListParagraph"/>
        <w:numPr>
          <w:ilvl w:val="0"/>
          <w:numId w:val="2"/>
        </w:numPr>
        <w:spacing w:after="45" w:line="276"/>
      </w:pPr>
      <w:r>
        <w:rPr>
          <w:rFonts w:ascii="Arial" w:cs="Arial" w:eastAsia="Arial" w:hAnsi="Arial"/>
          <w:color w:val="12272F"/>
          <w:sz w:val="20"/>
          <w:szCs w:val="20"/>
        </w:rPr>
        <w:t xml:space="preserve">Any mention of Deep Dish as employer, partner, history, or affiliation</w:t>
      </w:r>
    </w:p>
    <w:p>
      <w:pPr>
        <w:pStyle w:val="ListParagraph"/>
        <w:numPr>
          <w:ilvl w:val="0"/>
          <w:numId w:val="2"/>
        </w:numPr>
        <w:spacing w:after="45" w:line="276"/>
      </w:pPr>
      <w:r>
        <w:rPr>
          <w:rFonts w:ascii="Arial" w:cs="Arial" w:eastAsia="Arial" w:hAnsi="Arial"/>
          <w:color w:val="12272F"/>
          <w:sz w:val="20"/>
          <w:szCs w:val="20"/>
        </w:rPr>
        <w:t xml:space="preserve">Phrasing that implies Hybrid is an extension of, or successor to, Deep Dish</w:t>
      </w:r>
    </w:p>
    <w:p>
      <w:pPr>
        <w:spacing w:after="110" w:line="276"/>
      </w:pPr>
      <w:r>
        <w:rPr>
          <w:rFonts w:ascii="Arial" w:cs="Arial" w:eastAsia="Arial" w:hAnsi="Arial"/>
          <w:color w:val="12272F"/>
          <w:sz w:val="20"/>
          <w:szCs w:val="20"/>
        </w:rPr>
        <w:t xml:space="preserve">Internal research docs may retain historical context for the team’s own understanding. Customer-facing and marketing outputs must stay clean of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CFCB" w:sz="4"/>
              <w:left w:val="single" w:color="70CFCB" w:sz="4"/>
              <w:bottom w:val="single" w:color="70CFCB" w:sz="4"/>
              <w:right w:val="single" w:color="70CFCB" w:sz="4"/>
            </w:tcBorders>
            <w:shd w:fill="E8F7F6" w:val="clear"/>
            <w:tcMar>
              <w:top w:type="dxa" w:w="110"/>
              <w:left w:type="dxa" w:w="150"/>
              <w:bottom w:type="dxa" w:w="110"/>
              <w:right w:type="dxa" w:w="150"/>
            </w:tcMar>
          </w:tcPr>
          <w:p>
            <w:pPr>
              <w:spacing w:after="50"/>
            </w:pPr>
            <w:r>
              <w:rPr>
                <w:rFonts w:ascii="Arial" w:cs="Arial" w:eastAsia="Arial" w:hAnsi="Arial"/>
                <w:b/>
                <w:bCs/>
                <w:color w:val="12272F"/>
                <w:sz w:val="18"/>
                <w:szCs w:val="18"/>
              </w:rPr>
              <w:t xml:space="preserve">Action</w:t>
            </w:r>
          </w:p>
          <w:p>
            <w:pPr>
              <w:spacing w:after="25"/>
            </w:pPr>
            <w:r>
              <w:rPr>
                <w:rFonts w:ascii="Arial" w:cs="Arial" w:eastAsia="Arial" w:hAnsi="Arial"/>
                <w:color w:val="12272F"/>
                <w:sz w:val="17"/>
                <w:szCs w:val="17"/>
              </w:rPr>
              <w:t xml:space="preserve">Add the Deep Dish exclusion to any content checklist or brand guidelines used by Hybrid or freelancers.</w:t>
            </w:r>
          </w:p>
          <w:p>
            <w:pPr>
              <w:spacing w:after="25"/>
            </w:pPr>
            <w:r>
              <w:rPr>
                <w:rFonts w:ascii="Arial" w:cs="Arial" w:eastAsia="Arial" w:hAnsi="Arial"/>
                <w:color w:val="12272F"/>
                <w:sz w:val="17"/>
                <w:szCs w:val="17"/>
              </w:rPr>
              <w:t xml:space="preserve">When requesting bios from coaches, ask for a Hybrid-ready version that omits organisations Hybrid does not wish to surface.</w:t>
            </w:r>
          </w:p>
          <w:p>
            <w:pPr>
              <w:spacing w:after="25"/>
            </w:pPr>
            <w:r>
              <w:rPr>
                <w:rFonts w:ascii="Arial" w:cs="Arial" w:eastAsia="Arial" w:hAnsi="Arial"/>
                <w:color w:val="12272F"/>
                <w:sz w:val="17"/>
                <w:szCs w:val="17"/>
              </w:rPr>
              <w:t xml:space="preserve">Confirm Dave, Marco and Katya preferred Instagram handles directly before first public use.</w:t>
            </w:r>
          </w:p>
        </w:tc>
      </w:tr>
    </w:tbl>
    <w:p>
      <w:pPr>
        <w:spacing w:after="140"/>
      </w:pPr>
    </w:p>
    <w:p>
      <w:pPr>
        <w:spacing w:after="40"/>
        <w:jc w:val="center"/>
      </w:pPr>
      <w:r>
        <w:rPr>
          <w:rFonts w:ascii="Arial" w:cs="Arial" w:eastAsia="Arial" w:hAnsi="Arial"/>
          <w:b/>
          <w:bCs/>
          <w:color w:val="12272F"/>
          <w:sz w:val="26"/>
          <w:szCs w:val="26"/>
        </w:rPr>
        <w:t xml:space="preserve">HYBRID</w:t>
      </w:r>
    </w:p>
    <w:p>
      <w:pPr>
        <w:jc w:val="center"/>
      </w:pPr>
      <w:r>
        <w:rPr>
          <w:rFonts w:ascii="Arial" w:cs="Arial" w:eastAsia="Arial" w:hAnsi="Arial"/>
          <w:color w:val="6B7C85"/>
          <w:sz w:val="16"/>
          <w:szCs w:val="16"/>
        </w:rPr>
        <w:t xml:space="preserve">Travel Through What You Love.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0CFCB" w:sz="6" w:space="4"/>
      </w:pBdr>
      <w:spacing w:before="60"/>
      <w:jc w:val="center"/>
    </w:pPr>
    <w:r>
      <w:rPr>
        <w:rFonts w:ascii="Arial" w:cs="Arial" w:eastAsia="Arial" w:hAnsi="Arial"/>
        <w:color w:val="6B7C85"/>
        <w:sz w:val="15"/>
        <w:szCs w:val="15"/>
      </w:rPr>
      <w:t xml:space="preserve">Internal reference  ·  20 August 2026  ·  Page </w:t>
    </w:r>
    <w:r>
      <w:rPr>
        <w:rFonts w:ascii="Arial" w:cs="Arial" w:eastAsia="Arial" w:hAnsi="Arial"/>
        <w:color w:val="6B7C8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CFCB" w:sz="6" w:space="4"/>
      </w:pBdr>
      <w:spacing w:after="80"/>
    </w:pPr>
    <w:r>
      <w:rPr>
        <w:rFonts w:ascii="Arial" w:cs="Arial" w:eastAsia="Arial" w:hAnsi="Arial"/>
        <w:b/>
        <w:bCs/>
        <w:color w:val="12272F"/>
        <w:sz w:val="15"/>
        <w:szCs w:val="15"/>
      </w:rPr>
      <w:t xml:space="preserve">HYBRID VACATIONS</w:t>
    </w:r>
    <w:r>
      <w:rPr>
        <w:rFonts w:ascii="Arial" w:cs="Arial" w:eastAsia="Arial" w:hAnsi="Arial"/>
        <w:color w:val="6B7C85"/>
        <w:sz w:val="15"/>
        <w:szCs w:val="15"/>
      </w:rPr>
      <w:t xml:space="preserve">  ·  Coach Handles &amp; Content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2272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227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2026-08-20T11:44:15.024Z</dcterms:created>
  <dcterms:modified xsi:type="dcterms:W3CDTF">2026-08-20T11:44:15.025Z</dcterms:modified>
</cp:coreProperties>
</file>

<file path=docProps/custom.xml><?xml version="1.0" encoding="utf-8"?>
<Properties xmlns="http://schemas.openxmlformats.org/officeDocument/2006/custom-properties" xmlns:vt="http://schemas.openxmlformats.org/officeDocument/2006/docPropsVTypes"/>
</file>