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272F"/>
          <w:sz w:val="36"/>
        </w:rPr>
        <w:t>HYBRID VACATIONS</w:t>
      </w:r>
    </w:p>
    <w:p>
      <w:pPr>
        <w:jc w:val="center"/>
      </w:pPr>
      <w:r>
        <w:rPr>
          <w:rFonts w:ascii="Arial" w:hAnsi="Arial"/>
          <w:b w:val="0"/>
          <w:color w:val="12272F"/>
          <w:sz w:val="28"/>
        </w:rPr>
        <w:t>Internal Commercial Notes — Coaching Rates</w:t>
      </w:r>
    </w:p>
    <w:p>
      <w:pPr>
        <w:jc w:val="center"/>
      </w:pPr>
      <w:r>
        <w:rPr>
          <w:rFonts w:ascii="Arial" w:hAnsi="Arial"/>
          <w:b w:val="0"/>
          <w:color w:val="B45309"/>
          <w:sz w:val="20"/>
        </w:rPr>
        <w:t>Do not publish these rates on the public website or in marketing materials.</w:t>
      </w:r>
    </w:p>
    <w:p/>
    <w:p>
      <w:r>
        <w:rPr>
          <w:rFonts w:ascii="Arial" w:hAnsi="Arial"/>
          <w:b/>
          <w:color w:val="12272F"/>
          <w:sz w:val="24"/>
        </w:rPr>
        <w:t>Mark Garcia-Kidd — Private coaching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Rate: £50 per hour for private sessions.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Beach volleyballs: Mark can provide if needed.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Court hire: NOT included. Court rental is an external cost that Mark does not cover; the client or venue arrangement carries this cost.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Public website: Keep as Enquire only. Do not list the £50 rate online — rates may change.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Where to store: Source of Truth (Coaches + Content Rules tabs) and this internal note.</w:t>
      </w:r>
    </w:p>
    <w:p/>
    <w:p>
      <w:r>
        <w:rPr>
          <w:rFonts w:ascii="Arial" w:hAnsi="Arial"/>
          <w:b/>
          <w:color w:val="12272F"/>
          <w:sz w:val="24"/>
        </w:rPr>
        <w:t>Governance</w:t>
      </w:r>
    </w:p>
    <w:p>
      <w:r>
        <w:rPr>
          <w:rFonts w:ascii="Arial" w:hAnsi="Arial"/>
          <w:b w:val="0"/>
          <w:color w:val="12272F"/>
          <w:sz w:val="22"/>
        </w:rPr>
        <w:t>Any future public pricing for private coaching or clinics should be confirmed with Mark before going live. Until then, CTAs remain “Enquire for coaching and clinics.”</w:t>
      </w:r>
    </w:p>
    <w:p/>
    <w:p>
      <w:pPr>
        <w:jc w:val="center"/>
      </w:pPr>
      <w:r>
        <w:rPr>
          <w:rFonts w:ascii="Arial" w:hAnsi="Arial"/>
          <w:b w:val="0"/>
          <w:color w:val="6B7C85"/>
          <w:sz w:val="18"/>
        </w:rPr>
        <w:t>Travel Through What You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