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20"/>
          <w:szCs w:val="20"/>
        </w:rPr>
        <w:t xml:space="preserve">ATELIER BROCHANT — FRANCE DÉGORGEMENT</w:t>
      </w:r>
    </w:p>
    <w:p>
      <w:pPr>
        <w:spacing w:after="300"/>
      </w:pPr>
      <w:r>
        <w:rPr>
          <w:b/>
          <w:bCs/>
          <w:color w:val="1F2937"/>
          <w:sz w:val="40"/>
          <w:szCs w:val="40"/>
        </w:rPr>
        <w:t xml:space="preserve">Cahier des charges</w:t>
      </w:r>
    </w:p>
    <w:p>
      <w:pPr>
        <w:spacing w:after="40"/>
      </w:pPr>
      <w:r>
        <w:rPr>
          <w:i/>
          <w:iCs/>
          <w:sz w:val="22"/>
          <w:szCs w:val="22"/>
        </w:rPr>
        <w:t xml:space="preserve">Outil de prospection commerciale : sourcing de contacts, base de données et envoi de mails automatisé</w:t>
      </w:r>
    </w:p>
    <w:p>
      <w:pPr>
        <w:spacing w:after="400"/>
      </w:pPr>
      <w:r>
        <w:rPr>
          <w:color w:val="6B7280"/>
          <w:sz w:val="18"/>
          <w:szCs w:val="18"/>
        </w:rPr>
        <w:t xml:space="preserve">Version 1.0 — Septembre 2026</w:t>
      </w:r>
    </w:p>
    <w:p>
      <w:pPr>
        <w:pStyle w:val="Heading1"/>
        <w:pBdr>
          <w:bottom w:val="single" w:color="2563EB" w:sz="6" w:space="4"/>
        </w:pBdr>
        <w:spacing w:after="160" w:before="320"/>
      </w:pPr>
      <w:r>
        <w:rPr>
          <w:b/>
          <w:bCs/>
          <w:color w:val="1F2937"/>
          <w:sz w:val="26"/>
          <w:szCs w:val="26"/>
        </w:rPr>
        <w:t xml:space="preserve">1. Contexte et objectifs</w:t>
      </w:r>
    </w:p>
    <w:p>
      <w:pPr>
        <w:spacing w:after="120"/>
      </w:pPr>
      <w:r>
        <w:rPr>
          <w:sz w:val="21"/>
          <w:szCs w:val="21"/>
        </w:rPr>
        <w:t xml:space="preserve">Atelier Brochant / France Dégorgement intervient en Île-de-France, avec un siège secondaire à Lagny-sur-Marne, à travers deux marques aux services complémentaires :</w:t>
      </w:r>
    </w:p>
    <w:p>
      <w:pPr>
        <w:pStyle w:val="ListParagraph"/>
        <w:numPr>
          <w:ilvl w:val="0"/>
          <w:numId w:val="2"/>
        </w:numPr>
        <w:spacing w:after="60"/>
      </w:pPr>
      <w:r>
        <w:rPr>
          <w:b/>
          <w:bCs/>
          <w:sz w:val="21"/>
          <w:szCs w:val="21"/>
        </w:rPr>
        <w:t xml:space="preserve">France Dégorgement : débouchage de canalisation, pompage, curage, inspection caméra, recherche de fuite, installation et dépannage de pompes de relevage.</w:t>
      </w:r>
    </w:p>
    <w:p>
      <w:pPr>
        <w:pStyle w:val="ListParagraph"/>
        <w:numPr>
          <w:ilvl w:val="0"/>
          <w:numId w:val="2"/>
        </w:numPr>
        <w:spacing w:after="60"/>
      </w:pPr>
      <w:r>
        <w:rPr>
          <w:b/>
          <w:bCs/>
          <w:sz w:val="21"/>
          <w:szCs w:val="21"/>
        </w:rPr>
        <w:t xml:space="preserve">Atelier Brochant : plomberie générale et dépannage, recherche de fuite, dépannage rapide.</w:t>
      </w:r>
    </w:p>
    <w:p>
      <w:pPr>
        <w:spacing w:after="120"/>
      </w:pPr>
      <w:r>
        <w:rPr>
          <w:sz w:val="21"/>
          <w:szCs w:val="21"/>
        </w:rPr>
        <w:t xml:space="preserve">L'entreprise souhaite mettre en place une démarche de prospection commerciale (démarchage B2B) vers deux cibles principales : les syndics/gestionnaires de copropriété et les compagnies/cabinets d'expertise d'assurance. Aujourd'hui, cette prospection est faite manuellement, sans fichier client centralisé ni outil d'envoi structuré.</w:t>
      </w:r>
    </w:p>
    <w:p>
      <w:pPr>
        <w:spacing w:after="120"/>
      </w:pPr>
      <w:r>
        <w:rPr>
          <w:sz w:val="21"/>
          <w:szCs w:val="21"/>
        </w:rPr>
        <w:t xml:space="preserve">Pour démarrer, la prospection cible en priorité les syndics, gestionnaires et assurances basés en Seine-et-Marne (77), avec une extension possible au reste de l'Île-de-France dans un second temps.</w:t>
      </w:r>
    </w:p>
    <w:p>
      <w:pPr>
        <w:spacing w:after="120"/>
      </w:pPr>
      <w:r>
        <w:rPr>
          <w:sz w:val="21"/>
          <w:szCs w:val="21"/>
        </w:rPr>
        <w:t xml:space="preserve">Objectif du projet : doter l'entreprise d'un outil permettant de (1) identifier des prospects qualifiés, (2) centraliser leurs coordonnées dans une base unique, (3) enrichir ces fiches avec une adresse email valide, et (4) envoyer des campagnes d'emails de prospection automatisées et suivies, dans le respect du RGPD.</w:t>
      </w:r>
    </w:p>
    <w:p>
      <w:pPr>
        <w:pStyle w:val="Heading1"/>
        <w:pBdr>
          <w:bottom w:val="single" w:color="2563EB" w:sz="6" w:space="4"/>
        </w:pBdr>
        <w:spacing w:after="160" w:before="320"/>
      </w:pPr>
      <w:r>
        <w:rPr>
          <w:b/>
          <w:bCs/>
          <w:color w:val="1F2937"/>
          <w:sz w:val="26"/>
          <w:szCs w:val="26"/>
        </w:rPr>
        <w:t xml:space="preserve">2. Périmètre fonctionnel</w:t>
      </w:r>
    </w:p>
    <w:p>
      <w:pPr>
        <w:pStyle w:val="Heading2"/>
        <w:spacing w:after="100" w:before="240"/>
      </w:pPr>
      <w:r>
        <w:rPr>
          <w:b/>
          <w:bCs/>
          <w:color w:val="2563EB"/>
          <w:sz w:val="22"/>
          <w:szCs w:val="22"/>
        </w:rPr>
        <w:t xml:space="preserve">2.1 Module Sourcing de prospects</w:t>
      </w:r>
    </w:p>
    <w:p>
      <w:pPr>
        <w:spacing w:after="120"/>
      </w:pPr>
      <w:r>
        <w:rPr>
          <w:sz w:val="21"/>
          <w:szCs w:val="21"/>
        </w:rPr>
        <w:t xml:space="preserve">Permet de rechercher et d'importer des entreprises cibles (syndics/gestionnaires de copropriété, cabinets d'expertise d'assurance) sur une zone géographique donnée, avec la Seine-et-Marne (77) comme zone prioritaire de démarrage.</w:t>
      </w:r>
    </w:p>
    <w:p>
      <w:pPr>
        <w:pStyle w:val="ListParagraph"/>
        <w:numPr>
          <w:ilvl w:val="0"/>
          <w:numId w:val="2"/>
        </w:numPr>
        <w:spacing w:after="60"/>
      </w:pPr>
      <w:r>
        <w:rPr>
          <w:b w:val="false"/>
          <w:bCs w:val="false"/>
          <w:sz w:val="21"/>
          <w:szCs w:val="21"/>
        </w:rPr>
        <w:t xml:space="preserve">Recherche par mot-clé + zone (ex. « syndic de copropriété » + Seine-et-Marne)</w:t>
      </w:r>
    </w:p>
    <w:p>
      <w:pPr>
        <w:pStyle w:val="ListParagraph"/>
        <w:numPr>
          <w:ilvl w:val="0"/>
          <w:numId w:val="2"/>
        </w:numPr>
        <w:spacing w:after="60"/>
      </w:pPr>
      <w:r>
        <w:rPr>
          <w:b w:val="false"/>
          <w:bCs w:val="false"/>
          <w:sz w:val="21"/>
          <w:szCs w:val="21"/>
        </w:rPr>
        <w:t xml:space="preserve">Récupération automatique : nom de l'entreprise, adresse, téléphone, site web</w:t>
      </w:r>
    </w:p>
    <w:p>
      <w:pPr>
        <w:pStyle w:val="ListParagraph"/>
        <w:numPr>
          <w:ilvl w:val="0"/>
          <w:numId w:val="2"/>
        </w:numPr>
        <w:spacing w:after="60"/>
      </w:pPr>
      <w:r>
        <w:rPr>
          <w:b w:val="false"/>
          <w:bCs w:val="false"/>
          <w:sz w:val="21"/>
          <w:szCs w:val="21"/>
        </w:rPr>
        <w:t xml:space="preserve">Dédoublonnage automatique des entreprises déjà présentes en base</w:t>
      </w:r>
    </w:p>
    <w:p>
      <w:pPr>
        <w:pStyle w:val="ListParagraph"/>
        <w:numPr>
          <w:ilvl w:val="0"/>
          <w:numId w:val="2"/>
        </w:numPr>
        <w:spacing w:after="60"/>
      </w:pPr>
      <w:r>
        <w:rPr>
          <w:b w:val="false"/>
          <w:bCs w:val="false"/>
          <w:sz w:val="21"/>
          <w:szCs w:val="21"/>
        </w:rPr>
        <w:t xml:space="preserve">Import manuel possible (ajout à la main ou import d'un fichier CSV/Excel existant)</w:t>
      </w:r>
    </w:p>
    <w:p>
      <w:pPr>
        <w:pStyle w:val="Heading2"/>
        <w:spacing w:after="100" w:before="240"/>
      </w:pPr>
      <w:r>
        <w:rPr>
          <w:b/>
          <w:bCs/>
          <w:color w:val="2563EB"/>
          <w:sz w:val="22"/>
          <w:szCs w:val="22"/>
        </w:rPr>
        <w:t xml:space="preserve">2.2 Module Base de contacts (mini-CRM)</w:t>
      </w:r>
    </w:p>
    <w:p>
      <w:pPr>
        <w:spacing w:after="120"/>
      </w:pPr>
      <w:r>
        <w:rPr>
          <w:sz w:val="21"/>
          <w:szCs w:val="21"/>
        </w:rPr>
        <w:t xml:space="preserve">Base de données centralisée remplaçant le fichier Excel actuel, avec les champs suivants au minimum :</w:t>
      </w:r>
    </w:p>
    <w:p>
      <w:pPr>
        <w:pStyle w:val="ListParagraph"/>
        <w:numPr>
          <w:ilvl w:val="0"/>
          <w:numId w:val="2"/>
        </w:numPr>
        <w:spacing w:after="60"/>
      </w:pPr>
      <w:r>
        <w:rPr>
          <w:b w:val="false"/>
          <w:bCs w:val="false"/>
          <w:sz w:val="21"/>
          <w:szCs w:val="21"/>
        </w:rPr>
        <w:t xml:space="preserve">Type de prospect (Syndic / Assurance)</w:t>
      </w:r>
    </w:p>
    <w:p>
      <w:pPr>
        <w:pStyle w:val="ListParagraph"/>
        <w:numPr>
          <w:ilvl w:val="0"/>
          <w:numId w:val="2"/>
        </w:numPr>
        <w:spacing w:after="60"/>
      </w:pPr>
      <w:r>
        <w:rPr>
          <w:b w:val="false"/>
          <w:bCs w:val="false"/>
          <w:sz w:val="21"/>
          <w:szCs w:val="21"/>
        </w:rPr>
        <w:t xml:space="preserve">Entreprise, contact (nom, fonction), email, téléphone, adresse/secteur</w:t>
      </w:r>
    </w:p>
    <w:p>
      <w:pPr>
        <w:pStyle w:val="ListParagraph"/>
        <w:numPr>
          <w:ilvl w:val="0"/>
          <w:numId w:val="2"/>
        </w:numPr>
        <w:spacing w:after="60"/>
      </w:pPr>
      <w:r>
        <w:rPr>
          <w:b w:val="false"/>
          <w:bCs w:val="false"/>
          <w:sz w:val="21"/>
          <w:szCs w:val="21"/>
        </w:rPr>
        <w:t xml:space="preserve">Marque proposée (France Dégorgement / Atelier Brochant) et service ciblé</w:t>
      </w:r>
    </w:p>
    <w:p>
      <w:pPr>
        <w:pStyle w:val="ListParagraph"/>
        <w:numPr>
          <w:ilvl w:val="0"/>
          <w:numId w:val="2"/>
        </w:numPr>
        <w:spacing w:after="60"/>
      </w:pPr>
      <w:r>
        <w:rPr>
          <w:b w:val="false"/>
          <w:bCs w:val="false"/>
          <w:sz w:val="21"/>
          <w:szCs w:val="21"/>
        </w:rPr>
        <w:t xml:space="preserve">Statut (À contacter, Contacté, Relancé, RDV, Client, Sans suite) avec historique des changements</w:t>
      </w:r>
    </w:p>
    <w:p>
      <w:pPr>
        <w:pStyle w:val="ListParagraph"/>
        <w:numPr>
          <w:ilvl w:val="0"/>
          <w:numId w:val="2"/>
        </w:numPr>
        <w:spacing w:after="60"/>
      </w:pPr>
      <w:r>
        <w:rPr>
          <w:b w:val="false"/>
          <w:bCs w:val="false"/>
          <w:sz w:val="21"/>
          <w:szCs w:val="21"/>
        </w:rPr>
        <w:t xml:space="preserve">Dates de premier contact et de relance, champ notes libre</w:t>
      </w:r>
    </w:p>
    <w:p>
      <w:pPr>
        <w:pStyle w:val="ListParagraph"/>
        <w:numPr>
          <w:ilvl w:val="0"/>
          <w:numId w:val="2"/>
        </w:numPr>
        <w:spacing w:after="60"/>
      </w:pPr>
      <w:r>
        <w:rPr>
          <w:b w:val="false"/>
          <w:bCs w:val="false"/>
          <w:sz w:val="21"/>
          <w:szCs w:val="21"/>
        </w:rPr>
        <w:t xml:space="preserve">Accès multi-utilisateur (Jordy + éventuels collaborateurs), avec droits simples (lecture/écriture)</w:t>
      </w:r>
    </w:p>
    <w:p>
      <w:pPr>
        <w:pStyle w:val="Heading2"/>
        <w:spacing w:after="100" w:before="240"/>
      </w:pPr>
      <w:r>
        <w:rPr>
          <w:b/>
          <w:bCs/>
          <w:color w:val="2563EB"/>
          <w:sz w:val="22"/>
          <w:szCs w:val="22"/>
        </w:rPr>
        <w:t xml:space="preserve">2.3 Module Enrichissement email</w:t>
      </w:r>
    </w:p>
    <w:p>
      <w:pPr>
        <w:spacing w:after="120"/>
      </w:pPr>
      <w:r>
        <w:rPr>
          <w:sz w:val="21"/>
          <w:szCs w:val="21"/>
        </w:rPr>
        <w:t xml:space="preserve">Pour les prospects importés sans adresse email connue, recherche automatique d'un email professionnel valide à partir du nom de domaine de l'entreprise, avec un score de fiabilité et une vérification anti-rebond avant tout envoi.</w:t>
      </w:r>
    </w:p>
    <w:p>
      <w:pPr>
        <w:pStyle w:val="Heading2"/>
        <w:spacing w:after="100" w:before="240"/>
      </w:pPr>
      <w:r>
        <w:rPr>
          <w:b/>
          <w:bCs/>
          <w:color w:val="2563EB"/>
          <w:sz w:val="22"/>
          <w:szCs w:val="22"/>
        </w:rPr>
        <w:t xml:space="preserve">2.4 Module Campagnes d'envoi automatique</w:t>
      </w:r>
    </w:p>
    <w:p>
      <w:pPr>
        <w:pStyle w:val="ListParagraph"/>
        <w:numPr>
          <w:ilvl w:val="0"/>
          <w:numId w:val="2"/>
        </w:numPr>
        <w:spacing w:after="60"/>
      </w:pPr>
      <w:r>
        <w:rPr>
          <w:b w:val="false"/>
          <w:bCs w:val="false"/>
          <w:sz w:val="21"/>
          <w:szCs w:val="21"/>
        </w:rPr>
        <w:t xml:space="preserve">Création de modèles de mail personnalisables (variables : nom du contact, entreprise, marque, service)</w:t>
      </w:r>
    </w:p>
    <w:p>
      <w:pPr>
        <w:pStyle w:val="ListParagraph"/>
        <w:numPr>
          <w:ilvl w:val="0"/>
          <w:numId w:val="2"/>
        </w:numPr>
        <w:spacing w:after="60"/>
      </w:pPr>
      <w:r>
        <w:rPr>
          <w:b w:val="false"/>
          <w:bCs w:val="false"/>
          <w:sz w:val="21"/>
          <w:szCs w:val="21"/>
        </w:rPr>
        <w:t xml:space="preserve">Envoi en masse à un segment de la base (ex. tous les « Syndic – Seine-et-Marne – À contacter »)</w:t>
      </w:r>
    </w:p>
    <w:p>
      <w:pPr>
        <w:pStyle w:val="ListParagraph"/>
        <w:numPr>
          <w:ilvl w:val="0"/>
          <w:numId w:val="2"/>
        </w:numPr>
        <w:spacing w:after="60"/>
      </w:pPr>
      <w:r>
        <w:rPr>
          <w:b w:val="false"/>
          <w:bCs w:val="false"/>
          <w:sz w:val="21"/>
          <w:szCs w:val="21"/>
        </w:rPr>
        <w:t xml:space="preserve">Séquences de relance automatique (ex. relance à J+7 si pas de réponse, arrêt automatique si réponse reçue)</w:t>
      </w:r>
    </w:p>
    <w:p>
      <w:pPr>
        <w:pStyle w:val="ListParagraph"/>
        <w:numPr>
          <w:ilvl w:val="0"/>
          <w:numId w:val="2"/>
        </w:numPr>
        <w:spacing w:after="60"/>
      </w:pPr>
      <w:r>
        <w:rPr>
          <w:b w:val="false"/>
          <w:bCs w:val="false"/>
          <w:sz w:val="21"/>
          <w:szCs w:val="21"/>
        </w:rPr>
        <w:t xml:space="preserve">Lien de désinscription systématique et gestion automatique des désabonnés</w:t>
      </w:r>
    </w:p>
    <w:p>
      <w:pPr>
        <w:pStyle w:val="ListParagraph"/>
        <w:numPr>
          <w:ilvl w:val="0"/>
          <w:numId w:val="2"/>
        </w:numPr>
        <w:spacing w:after="60"/>
      </w:pPr>
      <w:r>
        <w:rPr>
          <w:b w:val="false"/>
          <w:bCs w:val="false"/>
          <w:sz w:val="21"/>
          <w:szCs w:val="21"/>
        </w:rPr>
        <w:t xml:space="preserve">Limitation du volume d'envoi quotidien pour préserver la délivrabilité</w:t>
      </w:r>
    </w:p>
    <w:p>
      <w:pPr>
        <w:pStyle w:val="Heading2"/>
        <w:spacing w:after="100" w:before="240"/>
      </w:pPr>
      <w:r>
        <w:rPr>
          <w:b/>
          <w:bCs/>
          <w:color w:val="2563EB"/>
          <w:sz w:val="22"/>
          <w:szCs w:val="22"/>
        </w:rPr>
        <w:t xml:space="preserve">2.5 Module Suivi &amp; reporting</w:t>
      </w:r>
    </w:p>
    <w:p>
      <w:pPr>
        <w:pStyle w:val="ListParagraph"/>
        <w:numPr>
          <w:ilvl w:val="0"/>
          <w:numId w:val="2"/>
        </w:numPr>
        <w:spacing w:after="60"/>
      </w:pPr>
      <w:r>
        <w:rPr>
          <w:b w:val="false"/>
          <w:bCs w:val="false"/>
          <w:sz w:val="21"/>
          <w:szCs w:val="21"/>
        </w:rPr>
        <w:t xml:space="preserve">Mise à jour automatique du statut d'un prospect selon ses actions (ouverture, clic, réponse, désinscription)</w:t>
      </w:r>
    </w:p>
    <w:p>
      <w:pPr>
        <w:pStyle w:val="ListParagraph"/>
        <w:numPr>
          <w:ilvl w:val="0"/>
          <w:numId w:val="2"/>
        </w:numPr>
        <w:spacing w:after="60"/>
      </w:pPr>
      <w:r>
        <w:rPr>
          <w:b w:val="false"/>
          <w:bCs w:val="false"/>
          <w:sz w:val="21"/>
          <w:szCs w:val="21"/>
        </w:rPr>
        <w:t xml:space="preserve">Tableau de bord : nombre de prospects par statut, taux d'ouverture/réponse par campagne, historique des envois par contact</w:t>
      </w:r>
    </w:p>
    <w:p>
      <w:pPr>
        <w:pStyle w:val="Heading1"/>
        <w:pBdr>
          <w:bottom w:val="single" w:color="2563EB" w:sz="6" w:space="4"/>
        </w:pBdr>
        <w:spacing w:after="160" w:before="320"/>
      </w:pPr>
      <w:r>
        <w:rPr>
          <w:b/>
          <w:bCs/>
          <w:color w:val="1F2937"/>
          <w:sz w:val="26"/>
          <w:szCs w:val="26"/>
        </w:rPr>
        <w:t xml:space="preserve">3. Exigences techniques et conformité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2937" w:val="clear"/>
            <w:tcMar>
              <w:top w:type="dxa" w:w="80"/>
              <w:left w:type="dxa" w:w="100"/>
              <w:bottom w:type="dxa" w:w="80"/>
              <w:right w:type="dxa" w:w="100"/>
            </w:tcMar>
          </w:tcPr>
          <w:p>
            <w:r>
              <w:rPr>
                <w:b/>
                <w:bCs/>
                <w:color w:val="FFFFFF"/>
                <w:sz w:val="20"/>
                <w:szCs w:val="20"/>
              </w:rPr>
              <w:t xml:space="preserve">Sujet</w:t>
            </w:r>
          </w:p>
        </w:tc>
        <w:tc>
          <w:tcPr>
            <w:tcW w:type="dxa" w:w="7150"/>
            <w:shd w:fill="1F2937" w:val="clear"/>
            <w:tcMar>
              <w:top w:type="dxa" w:w="80"/>
              <w:left w:type="dxa" w:w="100"/>
              <w:bottom w:type="dxa" w:w="80"/>
              <w:right w:type="dxa" w:w="100"/>
            </w:tcMar>
          </w:tcPr>
          <w:p>
            <w:r>
              <w:rPr>
                <w:b/>
                <w:bCs/>
                <w:color w:val="FFFFFF"/>
                <w:sz w:val="20"/>
                <w:szCs w:val="20"/>
              </w:rPr>
              <w:t xml:space="preserve">Exigence</w:t>
            </w:r>
          </w:p>
        </w:tc>
      </w:tr>
      <w:tr>
        <w:tc>
          <w:tcPr>
            <w:tcW w:type="dxa" w:w="2200"/>
            <w:tcMar>
              <w:top w:type="dxa" w:w="80"/>
              <w:left w:type="dxa" w:w="100"/>
              <w:bottom w:type="dxa" w:w="80"/>
              <w:right w:type="dxa" w:w="100"/>
            </w:tcMar>
          </w:tcPr>
          <w:p>
            <w:r>
              <w:rPr>
                <w:b w:val="false"/>
                <w:bCs w:val="false"/>
                <w:color w:val="000000"/>
                <w:sz w:val="20"/>
                <w:szCs w:val="20"/>
              </w:rPr>
              <w:t xml:space="preserve">RGPD</w:t>
            </w:r>
          </w:p>
        </w:tc>
        <w:tc>
          <w:tcPr>
            <w:tcW w:type="dxa" w:w="7150"/>
            <w:tcMar>
              <w:top w:type="dxa" w:w="80"/>
              <w:left w:type="dxa" w:w="100"/>
              <w:bottom w:type="dxa" w:w="80"/>
              <w:right w:type="dxa" w:w="100"/>
            </w:tcMar>
          </w:tcPr>
          <w:p>
            <w:r>
              <w:rPr>
                <w:b w:val="false"/>
                <w:bCs w:val="false"/>
                <w:color w:val="000000"/>
                <w:sz w:val="20"/>
                <w:szCs w:val="20"/>
              </w:rPr>
              <w:t xml:space="preserve">Emails limités aux adresses professionnelles génériques ou nominatives liées à l'activité du contact ; mention claire de l'expéditeur et lien de désinscription dans chaque envoi ; conservation des données limitée à la finalité commerciale.</w:t>
            </w:r>
          </w:p>
        </w:tc>
      </w:tr>
      <w:tr>
        <w:tc>
          <w:tcPr>
            <w:tcW w:type="dxa" w:w="2200"/>
            <w:tcMar>
              <w:top w:type="dxa" w:w="80"/>
              <w:left w:type="dxa" w:w="100"/>
              <w:bottom w:type="dxa" w:w="80"/>
              <w:right w:type="dxa" w:w="100"/>
            </w:tcMar>
          </w:tcPr>
          <w:p>
            <w:r>
              <w:rPr>
                <w:b w:val="false"/>
                <w:bCs w:val="false"/>
                <w:color w:val="000000"/>
                <w:sz w:val="20"/>
                <w:szCs w:val="20"/>
              </w:rPr>
              <w:t xml:space="preserve">Hébergement</w:t>
            </w:r>
          </w:p>
        </w:tc>
        <w:tc>
          <w:tcPr>
            <w:tcW w:type="dxa" w:w="7150"/>
            <w:tcMar>
              <w:top w:type="dxa" w:w="80"/>
              <w:left w:type="dxa" w:w="100"/>
              <w:bottom w:type="dxa" w:w="80"/>
              <w:right w:type="dxa" w:w="100"/>
            </w:tcMar>
          </w:tcPr>
          <w:p>
            <w:r>
              <w:rPr>
                <w:b w:val="false"/>
                <w:bCs w:val="false"/>
                <w:color w:val="000000"/>
                <w:sz w:val="20"/>
                <w:szCs w:val="20"/>
              </w:rPr>
              <w:t xml:space="preserve">Solution hébergée en Europe, accès sécurisé (connexion par identifiants), sauvegardes régulières de la base.</w:t>
            </w:r>
          </w:p>
        </w:tc>
      </w:tr>
      <w:tr>
        <w:tc>
          <w:tcPr>
            <w:tcW w:type="dxa" w:w="2200"/>
            <w:tcMar>
              <w:top w:type="dxa" w:w="80"/>
              <w:left w:type="dxa" w:w="100"/>
              <w:bottom w:type="dxa" w:w="80"/>
              <w:right w:type="dxa" w:w="100"/>
            </w:tcMar>
          </w:tcPr>
          <w:p>
            <w:r>
              <w:rPr>
                <w:b w:val="false"/>
                <w:bCs w:val="false"/>
                <w:color w:val="000000"/>
                <w:sz w:val="20"/>
                <w:szCs w:val="20"/>
              </w:rPr>
              <w:t xml:space="preserve">Interopérabilité</w:t>
            </w:r>
          </w:p>
        </w:tc>
        <w:tc>
          <w:tcPr>
            <w:tcW w:type="dxa" w:w="7150"/>
            <w:tcMar>
              <w:top w:type="dxa" w:w="80"/>
              <w:left w:type="dxa" w:w="100"/>
              <w:bottom w:type="dxa" w:w="80"/>
              <w:right w:type="dxa" w:w="100"/>
            </w:tcMar>
          </w:tcPr>
          <w:p>
            <w:r>
              <w:rPr>
                <w:b w:val="false"/>
                <w:bCs w:val="false"/>
                <w:color w:val="000000"/>
                <w:sz w:val="20"/>
                <w:szCs w:val="20"/>
              </w:rPr>
              <w:t xml:space="preserve">Import/export CSV ou Excel de la base de contacts à tout moment.</w:t>
            </w:r>
          </w:p>
        </w:tc>
      </w:tr>
      <w:tr>
        <w:tc>
          <w:tcPr>
            <w:tcW w:type="dxa" w:w="2200"/>
            <w:tcMar>
              <w:top w:type="dxa" w:w="80"/>
              <w:left w:type="dxa" w:w="100"/>
              <w:bottom w:type="dxa" w:w="80"/>
              <w:right w:type="dxa" w:w="100"/>
            </w:tcMar>
          </w:tcPr>
          <w:p>
            <w:r>
              <w:rPr>
                <w:b w:val="false"/>
                <w:bCs w:val="false"/>
                <w:color w:val="000000"/>
                <w:sz w:val="20"/>
                <w:szCs w:val="20"/>
              </w:rPr>
              <w:t xml:space="preserve">Délivrabilité</w:t>
            </w:r>
          </w:p>
        </w:tc>
        <w:tc>
          <w:tcPr>
            <w:tcW w:type="dxa" w:w="7150"/>
            <w:tcMar>
              <w:top w:type="dxa" w:w="80"/>
              <w:left w:type="dxa" w:w="100"/>
              <w:bottom w:type="dxa" w:w="80"/>
              <w:right w:type="dxa" w:w="100"/>
            </w:tcMar>
          </w:tcPr>
          <w:p>
            <w:r>
              <w:rPr>
                <w:b w:val="false"/>
                <w:bCs w:val="false"/>
                <w:color w:val="000000"/>
                <w:sz w:val="20"/>
                <w:szCs w:val="20"/>
              </w:rPr>
              <w:t xml:space="preserve">Configuration technique du domaine d'envoi (SPF, DKIM, DMARC) pour éviter le classement en spam.</w:t>
            </w:r>
          </w:p>
        </w:tc>
      </w:tr>
      <w:tr>
        <w:tc>
          <w:tcPr>
            <w:tcW w:type="dxa" w:w="2200"/>
            <w:tcMar>
              <w:top w:type="dxa" w:w="80"/>
              <w:left w:type="dxa" w:w="100"/>
              <w:bottom w:type="dxa" w:w="80"/>
              <w:right w:type="dxa" w:w="100"/>
            </w:tcMar>
          </w:tcPr>
          <w:p>
            <w:r>
              <w:rPr>
                <w:b w:val="false"/>
                <w:bCs w:val="false"/>
                <w:color w:val="000000"/>
                <w:sz w:val="20"/>
                <w:szCs w:val="20"/>
              </w:rPr>
              <w:t xml:space="preserve">Ergonomie</w:t>
            </w:r>
          </w:p>
        </w:tc>
        <w:tc>
          <w:tcPr>
            <w:tcW w:type="dxa" w:w="7150"/>
            <w:tcMar>
              <w:top w:type="dxa" w:w="80"/>
              <w:left w:type="dxa" w:w="100"/>
              <w:bottom w:type="dxa" w:w="80"/>
              <w:right w:type="dxa" w:w="100"/>
            </w:tcMar>
          </w:tcPr>
          <w:p>
            <w:r>
              <w:rPr>
                <w:b w:val="false"/>
                <w:bCs w:val="false"/>
                <w:color w:val="000000"/>
                <w:sz w:val="20"/>
                <w:szCs w:val="20"/>
              </w:rPr>
              <w:t xml:space="preserve">Interface simple, utilisable sans compétence technique par Jordy au quotidien.</w:t>
            </w:r>
          </w:p>
        </w:tc>
      </w:tr>
    </w:tbl>
    <w:p>
      <w:pPr>
        <w:pStyle w:val="Heading1"/>
        <w:pBdr>
          <w:bottom w:val="single" w:color="2563EB" w:sz="6" w:space="4"/>
        </w:pBdr>
        <w:spacing w:after="160" w:before="320"/>
      </w:pPr>
      <w:r>
        <w:rPr>
          <w:b/>
          <w:bCs/>
          <w:color w:val="1F2937"/>
          <w:sz w:val="26"/>
          <w:szCs w:val="26"/>
        </w:rPr>
        <w:t xml:space="preserve">4. Intégrations envisagées</w:t>
      </w:r>
    </w:p>
    <w:p>
      <w:pPr>
        <w:spacing w:after="120"/>
      </w:pPr>
      <w:r>
        <w:rPr>
          <w:sz w:val="21"/>
          <w:szCs w:val="21"/>
        </w:rPr>
        <w:t xml:space="preserve">À arbitrer avec le développeur selon budget et délais — solutions existantes pouvant être connectées plutôt que redéveloppées :</w:t>
      </w:r>
    </w:p>
    <w:p>
      <w:pPr>
        <w:pStyle w:val="ListParagraph"/>
        <w:numPr>
          <w:ilvl w:val="0"/>
          <w:numId w:val="2"/>
        </w:numPr>
        <w:spacing w:after="60"/>
      </w:pPr>
      <w:r>
        <w:rPr>
          <w:b w:val="false"/>
          <w:bCs w:val="false"/>
          <w:sz w:val="21"/>
          <w:szCs w:val="21"/>
        </w:rPr>
        <w:t xml:space="preserve">Sourcing d'entreprises : API Google Places, ou annuaires professionnels (Pages Jaunes, Pappers)</w:t>
      </w:r>
    </w:p>
    <w:p>
      <w:pPr>
        <w:pStyle w:val="ListParagraph"/>
        <w:numPr>
          <w:ilvl w:val="0"/>
          <w:numId w:val="2"/>
        </w:numPr>
        <w:spacing w:after="60"/>
      </w:pPr>
      <w:r>
        <w:rPr>
          <w:b w:val="false"/>
          <w:bCs w:val="false"/>
          <w:sz w:val="21"/>
          <w:szCs w:val="21"/>
        </w:rPr>
        <w:t xml:space="preserve">Enrichissement email : Hunter.io, Dropcontact ou équivalent</w:t>
      </w:r>
    </w:p>
    <w:p>
      <w:pPr>
        <w:pStyle w:val="ListParagraph"/>
        <w:numPr>
          <w:ilvl w:val="0"/>
          <w:numId w:val="2"/>
        </w:numPr>
        <w:spacing w:after="60"/>
      </w:pPr>
      <w:r>
        <w:rPr>
          <w:b w:val="false"/>
          <w:bCs w:val="false"/>
          <w:sz w:val="21"/>
          <w:szCs w:val="21"/>
        </w:rPr>
        <w:t xml:space="preserve">Envoi de campagnes : Brevo (ex-Sendinblue) ou Mailjet, via leur API, pour bénéficier nativement de la gestion RGPD/désinscription et de la délivrabilité</w:t>
      </w:r>
    </w:p>
    <w:p>
      <w:pPr>
        <w:spacing w:after="120"/>
      </w:pPr>
      <w:r>
        <w:rPr>
          <w:i/>
          <w:iCs/>
          <w:sz w:val="21"/>
          <w:szCs w:val="21"/>
        </w:rPr>
        <w:t xml:space="preserve">Le développeur peut proposer de construire l'outil comme une interface unifiée au-dessus de ces services plutôt que de tout redévelopper (recommandé pour maîtriser les délais et le budget).</w:t>
      </w:r>
    </w:p>
    <w:p>
      <w:pPr>
        <w:pStyle w:val="Heading1"/>
        <w:pBdr>
          <w:bottom w:val="single" w:color="2563EB" w:sz="6" w:space="4"/>
        </w:pBdr>
        <w:spacing w:after="160" w:before="320"/>
      </w:pPr>
      <w:r>
        <w:rPr>
          <w:b/>
          <w:bCs/>
          <w:color w:val="1F2937"/>
          <w:sz w:val="26"/>
          <w:szCs w:val="26"/>
        </w:rPr>
        <w:t xml:space="preserve">5. Livrables attendus</w:t>
      </w:r>
    </w:p>
    <w:p>
      <w:pPr>
        <w:pStyle w:val="ListParagraph"/>
        <w:numPr>
          <w:ilvl w:val="0"/>
          <w:numId w:val="2"/>
        </w:numPr>
        <w:spacing w:after="60"/>
      </w:pPr>
      <w:r>
        <w:rPr>
          <w:b w:val="false"/>
          <w:bCs w:val="false"/>
          <w:sz w:val="21"/>
          <w:szCs w:val="21"/>
        </w:rPr>
        <w:t xml:space="preserve">Base de contacts centralisée et interface de gestion (mini-CRM)</w:t>
      </w:r>
    </w:p>
    <w:p>
      <w:pPr>
        <w:pStyle w:val="ListParagraph"/>
        <w:numPr>
          <w:ilvl w:val="0"/>
          <w:numId w:val="2"/>
        </w:numPr>
        <w:spacing w:after="60"/>
      </w:pPr>
      <w:r>
        <w:rPr>
          <w:b w:val="false"/>
          <w:bCs w:val="false"/>
          <w:sz w:val="21"/>
          <w:szCs w:val="21"/>
        </w:rPr>
        <w:t xml:space="preserve">Module de sourcing et d'enrichissement email opérationnel</w:t>
      </w:r>
    </w:p>
    <w:p>
      <w:pPr>
        <w:pStyle w:val="ListParagraph"/>
        <w:numPr>
          <w:ilvl w:val="0"/>
          <w:numId w:val="2"/>
        </w:numPr>
        <w:spacing w:after="60"/>
      </w:pPr>
      <w:r>
        <w:rPr>
          <w:b w:val="false"/>
          <w:bCs w:val="false"/>
          <w:sz w:val="21"/>
          <w:szCs w:val="21"/>
        </w:rPr>
        <w:t xml:space="preserve">Module d'envoi de campagnes avec au moins 2 modèles de mail (Syndic / Assurance) et une séquence de relance</w:t>
      </w:r>
    </w:p>
    <w:p>
      <w:pPr>
        <w:pStyle w:val="ListParagraph"/>
        <w:numPr>
          <w:ilvl w:val="0"/>
          <w:numId w:val="2"/>
        </w:numPr>
        <w:spacing w:after="60"/>
      </w:pPr>
      <w:r>
        <w:rPr>
          <w:b w:val="false"/>
          <w:bCs w:val="false"/>
          <w:sz w:val="21"/>
          <w:szCs w:val="21"/>
        </w:rPr>
        <w:t xml:space="preserve">Tableau de bord de suivi</w:t>
      </w:r>
    </w:p>
    <w:p>
      <w:pPr>
        <w:pStyle w:val="ListParagraph"/>
        <w:numPr>
          <w:ilvl w:val="0"/>
          <w:numId w:val="2"/>
        </w:numPr>
        <w:spacing w:after="60"/>
      </w:pPr>
      <w:r>
        <w:rPr>
          <w:b w:val="false"/>
          <w:bCs w:val="false"/>
          <w:sz w:val="21"/>
          <w:szCs w:val="21"/>
        </w:rPr>
        <w:t xml:space="preserve">Documentation d'utilisation simple (prise en main)</w:t>
      </w:r>
    </w:p>
    <w:p>
      <w:pPr>
        <w:pStyle w:val="Heading1"/>
        <w:pBdr>
          <w:bottom w:val="single" w:color="2563EB" w:sz="6" w:space="4"/>
        </w:pBdr>
        <w:spacing w:after="160" w:before="320"/>
      </w:pPr>
      <w:r>
        <w:rPr>
          <w:b/>
          <w:bCs/>
          <w:color w:val="1F2937"/>
          <w:sz w:val="26"/>
          <w:szCs w:val="26"/>
        </w:rPr>
        <w:t xml:space="preserve">6. Planning indicatif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2937" w:val="clear"/>
            <w:tcMar>
              <w:top w:type="dxa" w:w="80"/>
              <w:left w:type="dxa" w:w="100"/>
              <w:bottom w:type="dxa" w:w="80"/>
              <w:right w:type="dxa" w:w="100"/>
            </w:tcMar>
          </w:tcPr>
          <w:p>
            <w:r>
              <w:rPr>
                <w:b/>
                <w:bCs/>
                <w:color w:val="FFFFFF"/>
                <w:sz w:val="20"/>
                <w:szCs w:val="20"/>
              </w:rPr>
              <w:t xml:space="preserve">Phase</w:t>
            </w:r>
          </w:p>
        </w:tc>
        <w:tc>
          <w:tcPr>
            <w:tcW w:type="dxa" w:w="7150"/>
            <w:shd w:fill="1F2937" w:val="clear"/>
            <w:tcMar>
              <w:top w:type="dxa" w:w="80"/>
              <w:left w:type="dxa" w:w="100"/>
              <w:bottom w:type="dxa" w:w="80"/>
              <w:right w:type="dxa" w:w="100"/>
            </w:tcMar>
          </w:tcPr>
          <w:p>
            <w:r>
              <w:rPr>
                <w:b/>
                <w:bCs/>
                <w:color w:val="FFFFFF"/>
                <w:sz w:val="20"/>
                <w:szCs w:val="20"/>
              </w:rPr>
              <w:t xml:space="preserve">Contenu</w:t>
            </w:r>
          </w:p>
        </w:tc>
      </w:tr>
      <w:tr>
        <w:tc>
          <w:tcPr>
            <w:tcW w:type="dxa" w:w="2200"/>
            <w:tcMar>
              <w:top w:type="dxa" w:w="80"/>
              <w:left w:type="dxa" w:w="100"/>
              <w:bottom w:type="dxa" w:w="80"/>
              <w:right w:type="dxa" w:w="100"/>
            </w:tcMar>
          </w:tcPr>
          <w:p>
            <w:r>
              <w:rPr>
                <w:b w:val="false"/>
                <w:bCs w:val="false"/>
                <w:color w:val="000000"/>
                <w:sz w:val="20"/>
                <w:szCs w:val="20"/>
              </w:rPr>
              <w:t xml:space="preserve">Phase 1</w:t>
            </w:r>
          </w:p>
        </w:tc>
        <w:tc>
          <w:tcPr>
            <w:tcW w:type="dxa" w:w="7150"/>
            <w:tcMar>
              <w:top w:type="dxa" w:w="80"/>
              <w:left w:type="dxa" w:w="100"/>
              <w:bottom w:type="dxa" w:w="80"/>
              <w:right w:type="dxa" w:w="100"/>
            </w:tcMar>
          </w:tcPr>
          <w:p>
            <w:r>
              <w:rPr>
                <w:b w:val="false"/>
                <w:bCs w:val="false"/>
                <w:color w:val="000000"/>
                <w:sz w:val="20"/>
                <w:szCs w:val="20"/>
              </w:rPr>
              <w:t xml:space="preserve">Base de contacts + import du fichier existant</w:t>
            </w:r>
          </w:p>
        </w:tc>
      </w:tr>
      <w:tr>
        <w:tc>
          <w:tcPr>
            <w:tcW w:type="dxa" w:w="2200"/>
            <w:tcMar>
              <w:top w:type="dxa" w:w="80"/>
              <w:left w:type="dxa" w:w="100"/>
              <w:bottom w:type="dxa" w:w="80"/>
              <w:right w:type="dxa" w:w="100"/>
            </w:tcMar>
          </w:tcPr>
          <w:p>
            <w:r>
              <w:rPr>
                <w:b w:val="false"/>
                <w:bCs w:val="false"/>
                <w:color w:val="000000"/>
                <w:sz w:val="20"/>
                <w:szCs w:val="20"/>
              </w:rPr>
              <w:t xml:space="preserve">Phase 2</w:t>
            </w:r>
          </w:p>
        </w:tc>
        <w:tc>
          <w:tcPr>
            <w:tcW w:type="dxa" w:w="7150"/>
            <w:tcMar>
              <w:top w:type="dxa" w:w="80"/>
              <w:left w:type="dxa" w:w="100"/>
              <w:bottom w:type="dxa" w:w="80"/>
              <w:right w:type="dxa" w:w="100"/>
            </w:tcMar>
          </w:tcPr>
          <w:p>
            <w:r>
              <w:rPr>
                <w:b w:val="false"/>
                <w:bCs w:val="false"/>
                <w:color w:val="000000"/>
                <w:sz w:val="20"/>
                <w:szCs w:val="20"/>
              </w:rPr>
              <w:t xml:space="preserve">Sourcing automatique + enrichissement email</w:t>
            </w:r>
          </w:p>
        </w:tc>
      </w:tr>
      <w:tr>
        <w:tc>
          <w:tcPr>
            <w:tcW w:type="dxa" w:w="2200"/>
            <w:tcMar>
              <w:top w:type="dxa" w:w="80"/>
              <w:left w:type="dxa" w:w="100"/>
              <w:bottom w:type="dxa" w:w="80"/>
              <w:right w:type="dxa" w:w="100"/>
            </w:tcMar>
          </w:tcPr>
          <w:p>
            <w:r>
              <w:rPr>
                <w:b w:val="false"/>
                <w:bCs w:val="false"/>
                <w:color w:val="000000"/>
                <w:sz w:val="20"/>
                <w:szCs w:val="20"/>
              </w:rPr>
              <w:t xml:space="preserve">Phase 3</w:t>
            </w:r>
          </w:p>
        </w:tc>
        <w:tc>
          <w:tcPr>
            <w:tcW w:type="dxa" w:w="7150"/>
            <w:tcMar>
              <w:top w:type="dxa" w:w="80"/>
              <w:left w:type="dxa" w:w="100"/>
              <w:bottom w:type="dxa" w:w="80"/>
              <w:right w:type="dxa" w:w="100"/>
            </w:tcMar>
          </w:tcPr>
          <w:p>
            <w:r>
              <w:rPr>
                <w:b w:val="false"/>
                <w:bCs w:val="false"/>
                <w:color w:val="000000"/>
                <w:sz w:val="20"/>
                <w:szCs w:val="20"/>
              </w:rPr>
              <w:t xml:space="preserve">Envoi de campagnes + séquences de relance</w:t>
            </w:r>
          </w:p>
        </w:tc>
      </w:tr>
      <w:tr>
        <w:tc>
          <w:tcPr>
            <w:tcW w:type="dxa" w:w="2200"/>
            <w:tcMar>
              <w:top w:type="dxa" w:w="80"/>
              <w:left w:type="dxa" w:w="100"/>
              <w:bottom w:type="dxa" w:w="80"/>
              <w:right w:type="dxa" w:w="100"/>
            </w:tcMar>
          </w:tcPr>
          <w:p>
            <w:r>
              <w:rPr>
                <w:b w:val="false"/>
                <w:bCs w:val="false"/>
                <w:color w:val="000000"/>
                <w:sz w:val="20"/>
                <w:szCs w:val="20"/>
              </w:rPr>
              <w:t xml:space="preserve">Phase 4</w:t>
            </w:r>
          </w:p>
        </w:tc>
        <w:tc>
          <w:tcPr>
            <w:tcW w:type="dxa" w:w="7150"/>
            <w:tcMar>
              <w:top w:type="dxa" w:w="80"/>
              <w:left w:type="dxa" w:w="100"/>
              <w:bottom w:type="dxa" w:w="80"/>
              <w:right w:type="dxa" w:w="100"/>
            </w:tcMar>
          </w:tcPr>
          <w:p>
            <w:r>
              <w:rPr>
                <w:b w:val="false"/>
                <w:bCs w:val="false"/>
                <w:color w:val="000000"/>
                <w:sz w:val="20"/>
                <w:szCs w:val="20"/>
              </w:rPr>
              <w:t xml:space="preserve">Tableau de bord + mise en production</w:t>
            </w:r>
          </w:p>
        </w:tc>
      </w:tr>
    </w:tbl>
    <w:p>
      <w:pPr>
        <w:pStyle w:val="Heading1"/>
        <w:pBdr>
          <w:bottom w:val="single" w:color="2563EB" w:sz="6" w:space="4"/>
        </w:pBdr>
        <w:spacing w:after="160" w:before="320"/>
      </w:pPr>
      <w:r>
        <w:rPr>
          <w:b/>
          <w:bCs/>
          <w:color w:val="1F2937"/>
          <w:sz w:val="26"/>
          <w:szCs w:val="26"/>
        </w:rPr>
        <w:t xml:space="preserve">7. Points à valider avec le développeur</w:t>
      </w:r>
    </w:p>
    <w:p>
      <w:pPr>
        <w:pStyle w:val="ListParagraph"/>
        <w:numPr>
          <w:ilvl w:val="0"/>
          <w:numId w:val="2"/>
        </w:numPr>
        <w:spacing w:after="60"/>
      </w:pPr>
      <w:r>
        <w:rPr>
          <w:b w:val="false"/>
          <w:bCs w:val="false"/>
          <w:sz w:val="21"/>
          <w:szCs w:val="21"/>
        </w:rPr>
        <w:t xml:space="preserve">Budget disponible et délai souhaité</w:t>
      </w:r>
    </w:p>
    <w:p>
      <w:pPr>
        <w:pStyle w:val="ListParagraph"/>
        <w:numPr>
          <w:ilvl w:val="0"/>
          <w:numId w:val="2"/>
        </w:numPr>
        <w:spacing w:after="60"/>
      </w:pPr>
      <w:r>
        <w:rPr>
          <w:b w:val="false"/>
          <w:bCs w:val="false"/>
          <w:sz w:val="21"/>
          <w:szCs w:val="21"/>
        </w:rPr>
        <w:t xml:space="preserve">Choix des outils tiers (Brevo/Mailjet, Hunter.io/Dropcontact) et répartition des coûts d'abonnement</w:t>
      </w:r>
    </w:p>
    <w:p>
      <w:pPr>
        <w:pStyle w:val="ListParagraph"/>
        <w:numPr>
          <w:ilvl w:val="0"/>
          <w:numId w:val="2"/>
        </w:numPr>
        <w:spacing w:after="60"/>
      </w:pPr>
      <w:r>
        <w:rPr>
          <w:b w:val="false"/>
          <w:bCs w:val="false"/>
          <w:sz w:val="21"/>
          <w:szCs w:val="21"/>
        </w:rPr>
        <w:t xml:space="preserve">Volume d'envoi mensuel visé</w:t>
      </w:r>
    </w:p>
    <w:p>
      <w:pPr>
        <w:pStyle w:val="ListParagraph"/>
        <w:numPr>
          <w:ilvl w:val="0"/>
          <w:numId w:val="2"/>
        </w:numPr>
        <w:spacing w:after="60"/>
      </w:pPr>
      <w:r>
        <w:rPr>
          <w:b w:val="false"/>
          <w:bCs w:val="false"/>
          <w:sz w:val="21"/>
          <w:szCs w:val="21"/>
        </w:rPr>
        <w:t xml:space="preserve">Nombre d'utilisateurs devant accéder à l'outil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2026-09-16T15:33:34.286Z</dcterms:created>
  <dcterms:modified xsi:type="dcterms:W3CDTF">2026-09-16T15:33:34.287Z</dcterms:modified>
</cp:coreProperties>
</file>

<file path=docProps/custom.xml><?xml version="1.0" encoding="utf-8"?>
<Properties xmlns="http://schemas.openxmlformats.org/officeDocument/2006/custom-properties" xmlns:vt="http://schemas.openxmlformats.org/officeDocument/2006/docPropsVTypes"/>
</file>