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5Fonc-Accentuation1"/>
        <w:tblW w:w="15398" w:type="dxa"/>
        <w:jc w:val="center"/>
        <w:tblLook w:val="04A0" w:firstRow="1" w:lastRow="0" w:firstColumn="1" w:lastColumn="0" w:noHBand="0" w:noVBand="1"/>
      </w:tblPr>
      <w:tblGrid>
        <w:gridCol w:w="2459"/>
        <w:gridCol w:w="1364"/>
        <w:gridCol w:w="2635"/>
        <w:gridCol w:w="1694"/>
        <w:gridCol w:w="1717"/>
        <w:gridCol w:w="5529"/>
      </w:tblGrid>
      <w:tr w:rsidR="00756F22" w:rsidRPr="00036DCF" w14:paraId="022F3583" w14:textId="77777777" w:rsidTr="00036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01C1CE15" w14:textId="77777777" w:rsidR="00756F22" w:rsidRPr="00036DCF" w:rsidRDefault="00000000" w:rsidP="00036DCF">
            <w:pPr>
              <w:jc w:val="center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Fonction</w:t>
            </w:r>
          </w:p>
        </w:tc>
        <w:tc>
          <w:tcPr>
            <w:tcW w:w="1364" w:type="dxa"/>
            <w:vAlign w:val="center"/>
          </w:tcPr>
          <w:p w14:paraId="030BB554" w14:textId="77777777" w:rsidR="00756F22" w:rsidRPr="00036DCF" w:rsidRDefault="00000000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Priorité (1-5)</w:t>
            </w:r>
          </w:p>
        </w:tc>
        <w:tc>
          <w:tcPr>
            <w:tcW w:w="2635" w:type="dxa"/>
            <w:vAlign w:val="center"/>
          </w:tcPr>
          <w:p w14:paraId="733805BF" w14:textId="77777777" w:rsidR="00756F22" w:rsidRPr="00036DCF" w:rsidRDefault="00000000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Solution technique</w:t>
            </w:r>
          </w:p>
        </w:tc>
        <w:tc>
          <w:tcPr>
            <w:tcW w:w="1694" w:type="dxa"/>
            <w:vAlign w:val="center"/>
          </w:tcPr>
          <w:p w14:paraId="474163FF" w14:textId="77777777" w:rsidR="00756F22" w:rsidRPr="00036DCF" w:rsidRDefault="00000000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Coût estimé</w:t>
            </w:r>
          </w:p>
        </w:tc>
        <w:tc>
          <w:tcPr>
            <w:tcW w:w="1717" w:type="dxa"/>
            <w:vAlign w:val="center"/>
          </w:tcPr>
          <w:p w14:paraId="32A60A53" w14:textId="77777777" w:rsidR="00756F22" w:rsidRPr="00036DCF" w:rsidRDefault="00000000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Faisabilité</w:t>
            </w:r>
          </w:p>
        </w:tc>
        <w:tc>
          <w:tcPr>
            <w:tcW w:w="5529" w:type="dxa"/>
            <w:vAlign w:val="center"/>
          </w:tcPr>
          <w:p w14:paraId="5DBF9A86" w14:textId="77777777" w:rsidR="00036DCF" w:rsidRDefault="00036DCF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FFFFFF"/>
                <w:sz w:val="19"/>
                <w:szCs w:val="19"/>
              </w:rPr>
            </w:pPr>
          </w:p>
          <w:p w14:paraId="76EE29D2" w14:textId="29C74C1C" w:rsidR="00756F22" w:rsidRDefault="00000000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FFFFFF"/>
                <w:sz w:val="19"/>
                <w:szCs w:val="19"/>
              </w:rPr>
            </w:pPr>
            <w:r w:rsidRPr="00036DCF">
              <w:rPr>
                <w:rFonts w:ascii="Arial" w:hAnsi="Arial" w:cs="Arial"/>
                <w:color w:val="FFFFFF"/>
                <w:sz w:val="19"/>
                <w:szCs w:val="19"/>
              </w:rPr>
              <w:t>Point de vigilance (sécurité, réglementation, approvisionnement, maintenance)</w:t>
            </w:r>
          </w:p>
          <w:p w14:paraId="26E6E014" w14:textId="77777777" w:rsidR="00036DCF" w:rsidRPr="00036DCF" w:rsidRDefault="00036DCF" w:rsidP="00036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56F22" w:rsidRPr="00036DCF" w14:paraId="376DDF60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682498B0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FT1-1 Afficher le texte</w:t>
            </w:r>
          </w:p>
        </w:tc>
        <w:tc>
          <w:tcPr>
            <w:tcW w:w="1364" w:type="dxa"/>
            <w:vAlign w:val="center"/>
          </w:tcPr>
          <w:p w14:paraId="5F027752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635" w:type="dxa"/>
            <w:vAlign w:val="center"/>
          </w:tcPr>
          <w:p w14:paraId="7CA87E65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Écran tactile capacitif E-Ink (module + contrôleur IT8951)</w:t>
            </w:r>
          </w:p>
        </w:tc>
        <w:tc>
          <w:tcPr>
            <w:tcW w:w="1694" w:type="dxa"/>
            <w:vAlign w:val="center"/>
          </w:tcPr>
          <w:p w14:paraId="6705E153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30–60 € (module 6")</w:t>
            </w:r>
          </w:p>
        </w:tc>
        <w:tc>
          <w:tcPr>
            <w:tcW w:w="1717" w:type="dxa"/>
            <w:vAlign w:val="center"/>
          </w:tcPr>
          <w:p w14:paraId="67A21813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– composants standards du commerce, largement documentés</w:t>
            </w:r>
          </w:p>
        </w:tc>
        <w:tc>
          <w:tcPr>
            <w:tcW w:w="5529" w:type="dxa"/>
            <w:vAlign w:val="center"/>
          </w:tcPr>
          <w:p w14:paraId="50827275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E Ink Corp détient un quasi-monopole (&gt;90%) sur les dalles ; peu de fournisseurs alternatifs, prix qui restent élevés</w:t>
            </w:r>
          </w:p>
        </w:tc>
      </w:tr>
      <w:tr w:rsidR="00756F22" w:rsidRPr="00036DCF" w14:paraId="36373650" w14:textId="77777777" w:rsidTr="00036D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0D1F3CCC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FT1-2 Éclairer l'écran</w:t>
            </w:r>
          </w:p>
        </w:tc>
        <w:tc>
          <w:tcPr>
            <w:tcW w:w="1364" w:type="dxa"/>
            <w:vAlign w:val="center"/>
          </w:tcPr>
          <w:p w14:paraId="026C0633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635" w:type="dxa"/>
            <w:vAlign w:val="center"/>
          </w:tcPr>
          <w:p w14:paraId="05368CD3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36DCF">
              <w:rPr>
                <w:rFonts w:ascii="Arial" w:hAnsi="Arial" w:cs="Arial"/>
                <w:sz w:val="18"/>
                <w:szCs w:val="18"/>
                <w:lang w:val="en-US"/>
              </w:rPr>
              <w:t xml:space="preserve">Front-light LED </w:t>
            </w:r>
            <w:proofErr w:type="spellStart"/>
            <w:r w:rsidRPr="00036DCF">
              <w:rPr>
                <w:rFonts w:ascii="Arial" w:hAnsi="Arial" w:cs="Arial"/>
                <w:sz w:val="18"/>
                <w:szCs w:val="18"/>
                <w:lang w:val="en-US"/>
              </w:rPr>
              <w:t>intégré</w:t>
            </w:r>
            <w:proofErr w:type="spellEnd"/>
            <w:r w:rsidRPr="00036DCF">
              <w:rPr>
                <w:rFonts w:ascii="Arial" w:hAnsi="Arial" w:cs="Arial"/>
                <w:sz w:val="18"/>
                <w:szCs w:val="18"/>
                <w:lang w:val="en-US"/>
              </w:rPr>
              <w:t xml:space="preserve"> (type Kindle/Kobo)</w:t>
            </w:r>
          </w:p>
        </w:tc>
        <w:tc>
          <w:tcPr>
            <w:tcW w:w="1694" w:type="dxa"/>
            <w:vAlign w:val="center"/>
          </w:tcPr>
          <w:p w14:paraId="18C53A46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5–10 €</w:t>
            </w:r>
          </w:p>
        </w:tc>
        <w:tc>
          <w:tcPr>
            <w:tcW w:w="1717" w:type="dxa"/>
            <w:vAlign w:val="center"/>
          </w:tcPr>
          <w:p w14:paraId="61593BB4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– technologie mature</w:t>
            </w:r>
          </w:p>
        </w:tc>
        <w:tc>
          <w:tcPr>
            <w:tcW w:w="5529" w:type="dxa"/>
            <w:vAlign w:val="center"/>
          </w:tcPr>
          <w:p w14:paraId="37544065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Consommation électrique à intégrer dans le bilan énergétique de la batterie</w:t>
            </w:r>
          </w:p>
        </w:tc>
      </w:tr>
      <w:tr w:rsidR="00756F22" w:rsidRPr="00036DCF" w14:paraId="1B52BAAF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7F2B69CF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FT1-3 Adapter l'affichage</w:t>
            </w:r>
          </w:p>
        </w:tc>
        <w:tc>
          <w:tcPr>
            <w:tcW w:w="1364" w:type="dxa"/>
            <w:vAlign w:val="center"/>
          </w:tcPr>
          <w:p w14:paraId="3F8726BB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635" w:type="dxa"/>
            <w:vAlign w:val="center"/>
          </w:tcPr>
          <w:p w14:paraId="3EE5A994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Réglages logiciels (police, taille, contraste)</w:t>
            </w:r>
          </w:p>
        </w:tc>
        <w:tc>
          <w:tcPr>
            <w:tcW w:w="1694" w:type="dxa"/>
            <w:vAlign w:val="center"/>
          </w:tcPr>
          <w:p w14:paraId="0BA75DD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~0 € (développement logiciel)</w:t>
            </w:r>
          </w:p>
        </w:tc>
        <w:tc>
          <w:tcPr>
            <w:tcW w:w="1717" w:type="dxa"/>
            <w:vAlign w:val="center"/>
          </w:tcPr>
          <w:p w14:paraId="2EC80176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– purement logiciel, aucune contrainte matérielle</w:t>
            </w:r>
          </w:p>
        </w:tc>
        <w:tc>
          <w:tcPr>
            <w:tcW w:w="5529" w:type="dxa"/>
            <w:vAlign w:val="center"/>
          </w:tcPr>
          <w:p w14:paraId="49ECC51D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 xml:space="preserve">Temps de développement/test </w:t>
            </w:r>
            <w:proofErr w:type="spellStart"/>
            <w:r w:rsidRPr="00036DCF">
              <w:rPr>
                <w:rFonts w:ascii="Arial" w:hAnsi="Arial" w:cs="Arial"/>
                <w:sz w:val="18"/>
                <w:szCs w:val="18"/>
              </w:rPr>
              <w:t>firmware</w:t>
            </w:r>
            <w:proofErr w:type="spellEnd"/>
            <w:r w:rsidRPr="00036DCF">
              <w:rPr>
                <w:rFonts w:ascii="Arial" w:hAnsi="Arial" w:cs="Arial"/>
                <w:sz w:val="18"/>
                <w:szCs w:val="18"/>
              </w:rPr>
              <w:t xml:space="preserve"> ; accessibilité (DYS, malvoyance) à anticiper</w:t>
            </w:r>
          </w:p>
        </w:tc>
      </w:tr>
      <w:tr w:rsidR="00756F22" w:rsidRPr="00036DCF" w14:paraId="2EEA7934" w14:textId="77777777" w:rsidTr="00036D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4FD09A8C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FT2 Stocker des livres</w:t>
            </w:r>
          </w:p>
        </w:tc>
        <w:tc>
          <w:tcPr>
            <w:tcW w:w="1364" w:type="dxa"/>
            <w:vAlign w:val="center"/>
          </w:tcPr>
          <w:p w14:paraId="10C5D7EF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635" w:type="dxa"/>
            <w:vAlign w:val="center"/>
          </w:tcPr>
          <w:p w14:paraId="10F9B4F5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Mémoire flash interne (</w:t>
            </w:r>
            <w:proofErr w:type="spellStart"/>
            <w:r w:rsidRPr="00036DCF">
              <w:rPr>
                <w:rFonts w:ascii="Arial" w:hAnsi="Arial" w:cs="Arial"/>
                <w:sz w:val="18"/>
                <w:szCs w:val="18"/>
              </w:rPr>
              <w:t>eMMC</w:t>
            </w:r>
            <w:proofErr w:type="spellEnd"/>
            <w:r w:rsidRPr="00036DCF">
              <w:rPr>
                <w:rFonts w:ascii="Arial" w:hAnsi="Arial" w:cs="Arial"/>
                <w:sz w:val="18"/>
                <w:szCs w:val="18"/>
              </w:rPr>
              <w:t>/NAND)</w:t>
            </w:r>
          </w:p>
        </w:tc>
        <w:tc>
          <w:tcPr>
            <w:tcW w:w="1694" w:type="dxa"/>
            <w:vAlign w:val="center"/>
          </w:tcPr>
          <w:p w14:paraId="569FD945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3–8 € (4-8 Go)</w:t>
            </w:r>
          </w:p>
        </w:tc>
        <w:tc>
          <w:tcPr>
            <w:tcW w:w="1717" w:type="dxa"/>
            <w:vAlign w:val="center"/>
          </w:tcPr>
          <w:p w14:paraId="4D5F03BB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– composant standard</w:t>
            </w:r>
          </w:p>
        </w:tc>
        <w:tc>
          <w:tcPr>
            <w:tcW w:w="5529" w:type="dxa"/>
            <w:vAlign w:val="center"/>
          </w:tcPr>
          <w:p w14:paraId="511F0AB4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Compatibilité DRM (Adobe) et formats supportés (</w:t>
            </w:r>
            <w:proofErr w:type="spellStart"/>
            <w:r w:rsidRPr="00036DCF">
              <w:rPr>
                <w:rFonts w:ascii="Arial" w:hAnsi="Arial" w:cs="Arial"/>
                <w:sz w:val="18"/>
                <w:szCs w:val="18"/>
              </w:rPr>
              <w:t>ePub</w:t>
            </w:r>
            <w:proofErr w:type="spellEnd"/>
            <w:r w:rsidRPr="00036DCF">
              <w:rPr>
                <w:rFonts w:ascii="Arial" w:hAnsi="Arial" w:cs="Arial"/>
                <w:sz w:val="18"/>
                <w:szCs w:val="18"/>
              </w:rPr>
              <w:t>, PDF) à vérifier</w:t>
            </w:r>
          </w:p>
        </w:tc>
      </w:tr>
      <w:tr w:rsidR="00756F22" w:rsidRPr="00036DCF" w14:paraId="11E92FA3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74388340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FT3 Ajouter des livres</w:t>
            </w:r>
          </w:p>
        </w:tc>
        <w:tc>
          <w:tcPr>
            <w:tcW w:w="1364" w:type="dxa"/>
            <w:vAlign w:val="center"/>
          </w:tcPr>
          <w:p w14:paraId="37101367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635" w:type="dxa"/>
            <w:vAlign w:val="center"/>
          </w:tcPr>
          <w:p w14:paraId="7EC538A5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Module Wi-Fi + connecteur USB-C</w:t>
            </w:r>
          </w:p>
        </w:tc>
        <w:tc>
          <w:tcPr>
            <w:tcW w:w="1694" w:type="dxa"/>
            <w:vAlign w:val="center"/>
          </w:tcPr>
          <w:p w14:paraId="6F1B172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3–6 € (Wi-Fi) + 1–2 € (USB-C)</w:t>
            </w:r>
          </w:p>
        </w:tc>
        <w:tc>
          <w:tcPr>
            <w:tcW w:w="1717" w:type="dxa"/>
            <w:vAlign w:val="center"/>
          </w:tcPr>
          <w:p w14:paraId="7D547E98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</w:t>
            </w:r>
          </w:p>
        </w:tc>
        <w:tc>
          <w:tcPr>
            <w:tcW w:w="5529" w:type="dxa"/>
            <w:vAlign w:val="center"/>
          </w:tcPr>
          <w:p w14:paraId="2D89936B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 xml:space="preserve">Certification RED (radio) obligatoire en UE ; mises à jour </w:t>
            </w:r>
            <w:proofErr w:type="spellStart"/>
            <w:r w:rsidRPr="00036DCF">
              <w:rPr>
                <w:rFonts w:ascii="Arial" w:hAnsi="Arial" w:cs="Arial"/>
                <w:sz w:val="18"/>
                <w:szCs w:val="18"/>
              </w:rPr>
              <w:t>firmware</w:t>
            </w:r>
            <w:proofErr w:type="spellEnd"/>
            <w:r w:rsidRPr="00036DCF">
              <w:rPr>
                <w:rFonts w:ascii="Arial" w:hAnsi="Arial" w:cs="Arial"/>
                <w:sz w:val="18"/>
                <w:szCs w:val="18"/>
              </w:rPr>
              <w:t xml:space="preserve"> OTA à sécuriser</w:t>
            </w:r>
          </w:p>
        </w:tc>
      </w:tr>
      <w:tr w:rsidR="00756F22" w:rsidRPr="00036DCF" w14:paraId="47835218" w14:textId="77777777" w:rsidTr="00036D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39D549CC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FT4 Alimenter le système</w:t>
            </w:r>
          </w:p>
        </w:tc>
        <w:tc>
          <w:tcPr>
            <w:tcW w:w="1364" w:type="dxa"/>
            <w:vAlign w:val="center"/>
          </w:tcPr>
          <w:p w14:paraId="467CD8D2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635" w:type="dxa"/>
            <w:vAlign w:val="center"/>
          </w:tcPr>
          <w:p w14:paraId="3E96D598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Batterie Li-Po rechargeable + circuit de charge</w:t>
            </w:r>
          </w:p>
        </w:tc>
        <w:tc>
          <w:tcPr>
            <w:tcW w:w="1694" w:type="dxa"/>
            <w:vAlign w:val="center"/>
          </w:tcPr>
          <w:p w14:paraId="3B8CF1E0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5–12 €</w:t>
            </w:r>
          </w:p>
        </w:tc>
        <w:tc>
          <w:tcPr>
            <w:tcW w:w="1717" w:type="dxa"/>
            <w:vAlign w:val="center"/>
          </w:tcPr>
          <w:p w14:paraId="2927E70F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mais encadrée réglementairement</w:t>
            </w:r>
          </w:p>
        </w:tc>
        <w:tc>
          <w:tcPr>
            <w:tcW w:w="5529" w:type="dxa"/>
            <w:vAlign w:val="center"/>
          </w:tcPr>
          <w:p w14:paraId="7AD7E544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Directive UE batteries amovibles (obligatoire dès 2027) : batterie remplaçable par l'utilisateur ; transport/recyclage réglementés (UN38.3, DEEE)</w:t>
            </w:r>
          </w:p>
        </w:tc>
      </w:tr>
      <w:tr w:rsidR="00756F22" w:rsidRPr="00036DCF" w14:paraId="010246AB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13F14E3E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FT5-1 Résister à l'eau &amp; poussière</w:t>
            </w:r>
          </w:p>
        </w:tc>
        <w:tc>
          <w:tcPr>
            <w:tcW w:w="1364" w:type="dxa"/>
            <w:vAlign w:val="center"/>
          </w:tcPr>
          <w:p w14:paraId="2B536D1A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635" w:type="dxa"/>
            <w:vAlign w:val="center"/>
          </w:tcPr>
          <w:p w14:paraId="3A8D4A5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Norme IP (IP67/IP68)</w:t>
            </w:r>
          </w:p>
        </w:tc>
        <w:tc>
          <w:tcPr>
            <w:tcW w:w="1694" w:type="dxa"/>
            <w:vAlign w:val="center"/>
          </w:tcPr>
          <w:p w14:paraId="596A123F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+8–15 € (joints, tests)</w:t>
            </w:r>
          </w:p>
        </w:tc>
        <w:tc>
          <w:tcPr>
            <w:tcW w:w="1717" w:type="dxa"/>
            <w:vAlign w:val="center"/>
          </w:tcPr>
          <w:p w14:paraId="554AD387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Moyenne – ajoute de la complexité mécanique et des coûts de validation</w:t>
            </w:r>
          </w:p>
        </w:tc>
        <w:tc>
          <w:tcPr>
            <w:tcW w:w="5529" w:type="dxa"/>
            <w:vAlign w:val="center"/>
          </w:tcPr>
          <w:p w14:paraId="32A1B750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Certification par laboratoire agréé ; ouverture du boîtier compromet l'étanchéité (maintenance délicate)</w:t>
            </w:r>
          </w:p>
        </w:tc>
      </w:tr>
      <w:tr w:rsidR="00756F22" w:rsidRPr="00036DCF" w14:paraId="13D89359" w14:textId="77777777" w:rsidTr="00036D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4F5DAFFD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FT6-1 Adapter la luminosité</w:t>
            </w:r>
          </w:p>
        </w:tc>
        <w:tc>
          <w:tcPr>
            <w:tcW w:w="1364" w:type="dxa"/>
            <w:vAlign w:val="center"/>
          </w:tcPr>
          <w:p w14:paraId="58355AA5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635" w:type="dxa"/>
            <w:vAlign w:val="center"/>
          </w:tcPr>
          <w:p w14:paraId="11E35A2A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Capteur de luminosité ambiante + réglage auto/manuel</w:t>
            </w:r>
          </w:p>
        </w:tc>
        <w:tc>
          <w:tcPr>
            <w:tcW w:w="1694" w:type="dxa"/>
            <w:vAlign w:val="center"/>
          </w:tcPr>
          <w:p w14:paraId="5A06B826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1–2 €</w:t>
            </w:r>
          </w:p>
        </w:tc>
        <w:tc>
          <w:tcPr>
            <w:tcW w:w="1717" w:type="dxa"/>
            <w:vAlign w:val="center"/>
          </w:tcPr>
          <w:p w14:paraId="4ED3812A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</w:t>
            </w:r>
          </w:p>
        </w:tc>
        <w:tc>
          <w:tcPr>
            <w:tcW w:w="5529" w:type="dxa"/>
            <w:vAlign w:val="center"/>
          </w:tcPr>
          <w:p w14:paraId="230F0FA9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Consommation supplémentaire du capteur, marginale</w:t>
            </w:r>
          </w:p>
        </w:tc>
      </w:tr>
      <w:tr w:rsidR="00756F22" w:rsidRPr="00036DCF" w14:paraId="298CCF21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769985B6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FT6-2 Réduire la lumière bleue</w:t>
            </w:r>
          </w:p>
        </w:tc>
        <w:tc>
          <w:tcPr>
            <w:tcW w:w="1364" w:type="dxa"/>
            <w:vAlign w:val="center"/>
          </w:tcPr>
          <w:p w14:paraId="7AAB82C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635" w:type="dxa"/>
            <w:vAlign w:val="center"/>
          </w:tcPr>
          <w:p w14:paraId="20C559F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LED ambrées additionnelles ("warm light") ou filtre logiciel</w:t>
            </w:r>
          </w:p>
        </w:tc>
        <w:tc>
          <w:tcPr>
            <w:tcW w:w="1694" w:type="dxa"/>
            <w:vAlign w:val="center"/>
          </w:tcPr>
          <w:p w14:paraId="4E197029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2–4 €</w:t>
            </w:r>
          </w:p>
        </w:tc>
        <w:tc>
          <w:tcPr>
            <w:tcW w:w="1717" w:type="dxa"/>
            <w:vAlign w:val="center"/>
          </w:tcPr>
          <w:p w14:paraId="40F0B268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 – déjà répandu chez Kobo/Kindle</w:t>
            </w:r>
          </w:p>
        </w:tc>
        <w:tc>
          <w:tcPr>
            <w:tcW w:w="5529" w:type="dxa"/>
            <w:vAlign w:val="center"/>
          </w:tcPr>
          <w:p w14:paraId="6CF90DA1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Pas de norme stricte ; argument confort/santé visuelle à documenter avec prudence (preuves scientifiques limitées)</w:t>
            </w:r>
          </w:p>
        </w:tc>
      </w:tr>
      <w:tr w:rsidR="00756F22" w:rsidRPr="00036DCF" w14:paraId="09B2EA15" w14:textId="77777777" w:rsidTr="00036D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19F2DF5C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FT6-3 Limiter le poids</w:t>
            </w:r>
          </w:p>
        </w:tc>
        <w:tc>
          <w:tcPr>
            <w:tcW w:w="1364" w:type="dxa"/>
            <w:vAlign w:val="center"/>
          </w:tcPr>
          <w:p w14:paraId="156F9302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635" w:type="dxa"/>
            <w:vAlign w:val="center"/>
          </w:tcPr>
          <w:p w14:paraId="74676B3F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Choix matériaux (polycarbonate/ABS)</w:t>
            </w:r>
          </w:p>
        </w:tc>
        <w:tc>
          <w:tcPr>
            <w:tcW w:w="1694" w:type="dxa"/>
            <w:vAlign w:val="center"/>
          </w:tcPr>
          <w:p w14:paraId="3E8A4094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Variable selon volume</w:t>
            </w:r>
          </w:p>
        </w:tc>
        <w:tc>
          <w:tcPr>
            <w:tcW w:w="1717" w:type="dxa"/>
            <w:vAlign w:val="center"/>
          </w:tcPr>
          <w:p w14:paraId="58DC4ECC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Élevée</w:t>
            </w:r>
          </w:p>
        </w:tc>
        <w:tc>
          <w:tcPr>
            <w:tcW w:w="5529" w:type="dxa"/>
            <w:vAlign w:val="center"/>
          </w:tcPr>
          <w:p w14:paraId="16C7CA91" w14:textId="77777777" w:rsidR="00756F22" w:rsidRPr="00036DCF" w:rsidRDefault="00000000" w:rsidP="00036D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Compromis résistance mécanique / légèreté ; approvisionnement plastique recyclé si argument RSE</w:t>
            </w:r>
          </w:p>
        </w:tc>
      </w:tr>
      <w:tr w:rsidR="00756F22" w:rsidRPr="00036DCF" w14:paraId="19870100" w14:textId="77777777" w:rsidTr="0003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Align w:val="center"/>
          </w:tcPr>
          <w:p w14:paraId="2FCACD18" w14:textId="77777777" w:rsidR="00756F22" w:rsidRPr="00036DCF" w:rsidRDefault="00000000" w:rsidP="00036DCF">
            <w:pPr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FT6-4 Adapter la forme du boîtier</w:t>
            </w:r>
          </w:p>
        </w:tc>
        <w:tc>
          <w:tcPr>
            <w:tcW w:w="1364" w:type="dxa"/>
            <w:vAlign w:val="center"/>
          </w:tcPr>
          <w:p w14:paraId="122AE4AB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635" w:type="dxa"/>
            <w:vAlign w:val="center"/>
          </w:tcPr>
          <w:p w14:paraId="12932A86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Étude ergonomique / design industriel (moule injection)</w:t>
            </w:r>
          </w:p>
        </w:tc>
        <w:tc>
          <w:tcPr>
            <w:tcW w:w="1694" w:type="dxa"/>
            <w:vAlign w:val="center"/>
          </w:tcPr>
          <w:p w14:paraId="32D30536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Outillage élevé (moule ≈ plusieurs k€, amorti sur volume)</w:t>
            </w:r>
          </w:p>
        </w:tc>
        <w:tc>
          <w:tcPr>
            <w:tcW w:w="1717" w:type="dxa"/>
            <w:vAlign w:val="center"/>
          </w:tcPr>
          <w:p w14:paraId="647BBABD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Moyenne</w:t>
            </w:r>
          </w:p>
        </w:tc>
        <w:tc>
          <w:tcPr>
            <w:tcW w:w="5529" w:type="dxa"/>
            <w:vAlign w:val="center"/>
          </w:tcPr>
          <w:p w14:paraId="79B7C17E" w14:textId="77777777" w:rsidR="00756F22" w:rsidRPr="00036DCF" w:rsidRDefault="00000000" w:rsidP="00036D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6DCF">
              <w:rPr>
                <w:rFonts w:ascii="Arial" w:hAnsi="Arial" w:cs="Arial"/>
                <w:sz w:val="18"/>
                <w:szCs w:val="18"/>
              </w:rPr>
              <w:t>Coût d'outillage important à faible volume ; délais de prototypage (impression 3D puis moule définitif)</w:t>
            </w:r>
          </w:p>
        </w:tc>
      </w:tr>
    </w:tbl>
    <w:p w14:paraId="6B3E2B26" w14:textId="77777777" w:rsidR="00756F22" w:rsidRPr="00036DCF" w:rsidRDefault="00000000" w:rsidP="00036DCF">
      <w:pPr>
        <w:spacing w:before="240" w:after="80"/>
        <w:rPr>
          <w:rFonts w:ascii="Arial" w:hAnsi="Arial" w:cs="Arial"/>
        </w:rPr>
      </w:pPr>
      <w:r w:rsidRPr="00036DCF">
        <w:rPr>
          <w:rFonts w:ascii="Arial" w:hAnsi="Arial" w:cs="Arial"/>
          <w:color w:val="2E75B6"/>
          <w:sz w:val="22"/>
          <w:szCs w:val="22"/>
        </w:rPr>
        <w:t>Notes méthodologiques</w:t>
      </w:r>
    </w:p>
    <w:p w14:paraId="4B0A3BF4" w14:textId="77777777" w:rsidR="00756F22" w:rsidRPr="00036DCF" w:rsidRDefault="00000000" w:rsidP="00036DCF">
      <w:pPr>
        <w:spacing w:after="60"/>
        <w:rPr>
          <w:rFonts w:ascii="Arial" w:hAnsi="Arial" w:cs="Arial"/>
        </w:rPr>
      </w:pPr>
      <w:r w:rsidRPr="00036DCF">
        <w:rPr>
          <w:rFonts w:ascii="Arial" w:hAnsi="Arial" w:cs="Arial"/>
          <w:sz w:val="19"/>
          <w:szCs w:val="19"/>
        </w:rPr>
        <w:t>• Les coûts indiqués sont des coûts composants unitaires estimés (hors assemblage, marges, distribution) — utiles pour comparer les postes entre eux, pas pour un chiffrage final.</w:t>
      </w:r>
    </w:p>
    <w:p w14:paraId="62AACFE3" w14:textId="77777777" w:rsidR="00756F22" w:rsidRPr="00036DCF" w:rsidRDefault="00000000" w:rsidP="00036DCF">
      <w:pPr>
        <w:spacing w:after="60"/>
        <w:rPr>
          <w:rFonts w:ascii="Arial" w:hAnsi="Arial" w:cs="Arial"/>
        </w:rPr>
      </w:pPr>
      <w:r w:rsidRPr="00036DCF">
        <w:rPr>
          <w:rFonts w:ascii="Arial" w:hAnsi="Arial" w:cs="Arial"/>
          <w:sz w:val="19"/>
          <w:szCs w:val="19"/>
        </w:rPr>
        <w:t>• Le point le plus sensible du produit reste FT1-1/FT1-2 (l'écran E-Ink), qui pèse le plus dans le coût total et dépend d'un fournisseur quasi unique : point de vigilance stratégique sur l'approvisionnement.</w:t>
      </w:r>
    </w:p>
    <w:p w14:paraId="4DF625E9" w14:textId="77777777" w:rsidR="00756F22" w:rsidRPr="00036DCF" w:rsidRDefault="00000000" w:rsidP="00036DCF">
      <w:pPr>
        <w:spacing w:after="60"/>
        <w:rPr>
          <w:rFonts w:ascii="Arial" w:hAnsi="Arial" w:cs="Arial"/>
        </w:rPr>
      </w:pPr>
      <w:r w:rsidRPr="00036DCF">
        <w:rPr>
          <w:rFonts w:ascii="Arial" w:hAnsi="Arial" w:cs="Arial"/>
          <w:sz w:val="19"/>
          <w:szCs w:val="19"/>
        </w:rPr>
        <w:t>• La nouvelle réglementation européenne sur les batteries amovibles (FT4) est un point réglementaire majeur à intégrer dès la conception mécanique du boîtier, en tension potentielle avec l'étanchéité IP67/68 (FT5).</w:t>
      </w:r>
    </w:p>
    <w:sectPr w:rsidR="00756F22" w:rsidRPr="00036DC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83FBB"/>
    <w:multiLevelType w:val="hybridMultilevel"/>
    <w:tmpl w:val="812C1AC4"/>
    <w:lvl w:ilvl="0" w:tplc="3A96E780">
      <w:start w:val="1"/>
      <w:numFmt w:val="bullet"/>
      <w:lvlText w:val="●"/>
      <w:lvlJc w:val="left"/>
      <w:pPr>
        <w:ind w:left="720" w:hanging="360"/>
      </w:pPr>
    </w:lvl>
    <w:lvl w:ilvl="1" w:tplc="CA4A055E">
      <w:start w:val="1"/>
      <w:numFmt w:val="bullet"/>
      <w:lvlText w:val="○"/>
      <w:lvlJc w:val="left"/>
      <w:pPr>
        <w:ind w:left="1440" w:hanging="360"/>
      </w:pPr>
    </w:lvl>
    <w:lvl w:ilvl="2" w:tplc="4E4E7088">
      <w:start w:val="1"/>
      <w:numFmt w:val="bullet"/>
      <w:lvlText w:val="■"/>
      <w:lvlJc w:val="left"/>
      <w:pPr>
        <w:ind w:left="2160" w:hanging="360"/>
      </w:pPr>
    </w:lvl>
    <w:lvl w:ilvl="3" w:tplc="97646AF0">
      <w:start w:val="1"/>
      <w:numFmt w:val="bullet"/>
      <w:lvlText w:val="●"/>
      <w:lvlJc w:val="left"/>
      <w:pPr>
        <w:ind w:left="2880" w:hanging="360"/>
      </w:pPr>
    </w:lvl>
    <w:lvl w:ilvl="4" w:tplc="E58A680C">
      <w:start w:val="1"/>
      <w:numFmt w:val="bullet"/>
      <w:lvlText w:val="○"/>
      <w:lvlJc w:val="left"/>
      <w:pPr>
        <w:ind w:left="3600" w:hanging="360"/>
      </w:pPr>
    </w:lvl>
    <w:lvl w:ilvl="5" w:tplc="FF449006">
      <w:start w:val="1"/>
      <w:numFmt w:val="bullet"/>
      <w:lvlText w:val="■"/>
      <w:lvlJc w:val="left"/>
      <w:pPr>
        <w:ind w:left="4320" w:hanging="360"/>
      </w:pPr>
    </w:lvl>
    <w:lvl w:ilvl="6" w:tplc="99A2416A">
      <w:start w:val="1"/>
      <w:numFmt w:val="bullet"/>
      <w:lvlText w:val="●"/>
      <w:lvlJc w:val="left"/>
      <w:pPr>
        <w:ind w:left="5040" w:hanging="360"/>
      </w:pPr>
    </w:lvl>
    <w:lvl w:ilvl="7" w:tplc="E6E2FEDA">
      <w:start w:val="1"/>
      <w:numFmt w:val="bullet"/>
      <w:lvlText w:val="●"/>
      <w:lvlJc w:val="left"/>
      <w:pPr>
        <w:ind w:left="5760" w:hanging="360"/>
      </w:pPr>
    </w:lvl>
    <w:lvl w:ilvl="8" w:tplc="BB0EB7D0">
      <w:start w:val="1"/>
      <w:numFmt w:val="bullet"/>
      <w:lvlText w:val="●"/>
      <w:lvlJc w:val="left"/>
      <w:pPr>
        <w:ind w:left="6480" w:hanging="360"/>
      </w:pPr>
    </w:lvl>
  </w:abstractNum>
  <w:num w:numId="1" w16cid:durableId="37827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22"/>
    <w:rsid w:val="00036DCF"/>
    <w:rsid w:val="00756F22"/>
    <w:rsid w:val="009D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8357"/>
  <w15:docId w15:val="{20A52EAE-D081-45E2-9C86-1DAA04DD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TableauGrille5Fonc-Accentuation1">
    <w:name w:val="Grid Table 5 Dark Accent 1"/>
    <w:basedOn w:val="TableauNormal"/>
    <w:uiPriority w:val="50"/>
    <w:rsid w:val="00036DC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LAVENANT</cp:lastModifiedBy>
  <cp:revision>2</cp:revision>
  <dcterms:created xsi:type="dcterms:W3CDTF">2026-09-22T15:13:00Z</dcterms:created>
  <dcterms:modified xsi:type="dcterms:W3CDTF">2026-09-22T15:22:00Z</dcterms:modified>
</cp:coreProperties>
</file>