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w:t>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Objeto de estudo</w:t>
      </w:r>
    </w:p>
    <w:p w:rsidR="00000000" w:rsidDel="00000000" w:rsidP="00000000" w:rsidRDefault="00000000" w:rsidRPr="00000000" w14:paraId="00000004">
      <w:pPr>
        <w:spacing w:line="240" w:lineRule="auto"/>
        <w:ind w:firstLine="720"/>
        <w:jc w:val="both"/>
        <w:rPr/>
      </w:pPr>
      <w:r w:rsidDel="00000000" w:rsidR="00000000" w:rsidRPr="00000000">
        <w:rPr>
          <w:rtl w:val="0"/>
        </w:rPr>
      </w:r>
    </w:p>
    <w:p w:rsidR="00000000" w:rsidDel="00000000" w:rsidP="00000000" w:rsidRDefault="00000000" w:rsidRPr="00000000" w14:paraId="0000000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como o de localização de uma nova cidade para ampliar a atuação de mercado das empresas, requerem a aplicação de métodos que permitam avaliar os benefícios que a assertividade na localização possa trazer para a empresa. Neste sentido, o presente estudo traz a aplicação do método de Copeland que permite avaliar o problema de localização de uma empresa do ramo alimentício, que produz e distribui alimentos artesanais. </w:t>
      </w:r>
    </w:p>
    <w:p w:rsidR="00000000" w:rsidDel="00000000" w:rsidP="00000000" w:rsidRDefault="00000000" w:rsidRPr="00000000" w14:paraId="0000000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presente pesquisa foi proposto a abordagem do método de copeland para apoiar a decisão de uma nova cidade fazendo a ordenação das alternativas de acordo com múltiplos critérios  , visto o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aplicação do método. Em seguida, os gestores da empresa indicaram três municípios do estado do Espírito Santo, sendo estes locais as alternativas de localização que foram utilizadas nesse estudo.</w:t>
      </w:r>
    </w:p>
    <w:p w:rsidR="00000000" w:rsidDel="00000000" w:rsidP="00000000" w:rsidRDefault="00000000" w:rsidRPr="00000000" w14:paraId="0000000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empresa presente no objeto de estudo está localizada no município de Cariacica, no estado do Espírito Santo, e atualmente, além da cidade onde está localizada atende também outros 6 municípios, sendo eles, Domingos Martins, Marechal Floriano, Santa Leopoldina, Santa Tereza, Vila-Velha e Vitória. A empresa possui dois sócios que administram a empresa e contam com 4 funcionários que são distribuídos na produção e distribuição. Dentre os produtos fabricados pela empresa, destacam-se alguns como macarrão caseiro e farofa crocante.</w:t>
      </w:r>
    </w:p>
    <w:p w:rsidR="00000000" w:rsidDel="00000000" w:rsidP="00000000" w:rsidRDefault="00000000" w:rsidRPr="00000000" w14:paraId="0000000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left="72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Construção do modelo</w:t>
      </w:r>
    </w:p>
    <w:p w:rsidR="00000000" w:rsidDel="00000000" w:rsidP="00000000" w:rsidRDefault="00000000" w:rsidRPr="00000000" w14:paraId="0000000C">
      <w:pPr>
        <w:spacing w:line="24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modelagem de um problema é preciso que se estejam decididos as alternativas e os critérios relevantes do problema, então para compor os critérios, foram levantados dados e características das cidades elegíveis através das prioridades demonstradas em consenso pelos donos da empresa. Os critérios escolhidos estão apresentados na Tabela 1, que auxiliaram a empresa a decidir qual cidade a ser incluída dentre as que já são atendidas.</w:t>
      </w:r>
    </w:p>
    <w:p w:rsidR="00000000" w:rsidDel="00000000" w:rsidP="00000000" w:rsidRDefault="00000000" w:rsidRPr="00000000" w14:paraId="0000000E">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0">
      <w:pPr>
        <w:tabs>
          <w:tab w:val="left" w:pos="3232"/>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Critérios para seleção da nova cidade.</w:t>
      </w:r>
    </w:p>
    <w:p w:rsidR="00000000" w:rsidDel="00000000" w:rsidP="00000000" w:rsidRDefault="00000000" w:rsidRPr="00000000" w14:paraId="00000011">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5103.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144"/>
        <w:gridCol w:w="3959"/>
        <w:tblGridChange w:id="0">
          <w:tblGrid>
            <w:gridCol w:w="1144"/>
            <w:gridCol w:w="3959"/>
          </w:tblGrid>
        </w:tblGridChange>
      </w:tblGrid>
      <w:tr>
        <w:trPr>
          <w:trHeight w:val="380" w:hRule="atLeast"/>
        </w:trPr>
        <w:tc>
          <w:tcPr>
            <w:gridSpan w:val="2"/>
            <w:tcBorders>
              <w:bottom w:color="000000" w:space="0" w:sz="4" w:val="single"/>
            </w:tcBorders>
          </w:tcPr>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Critérios</w:t>
            </w:r>
          </w:p>
        </w:tc>
      </w:tr>
      <w:tr>
        <w:trPr>
          <w:trHeight w:val="380" w:hRule="atLeast"/>
        </w:trPr>
        <w:tc>
          <w:tcPr>
            <w:tcBorders>
              <w:bottom w:color="000000" w:space="0" w:sz="0" w:val="nil"/>
              <w:right w:color="000000" w:space="0" w:sz="0" w:val="nil"/>
            </w:tcBorders>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Critério 1</w:t>
            </w:r>
          </w:p>
        </w:tc>
        <w:tc>
          <w:tcPr>
            <w:tcBorders>
              <w:left w:color="000000" w:space="0" w:sz="0" w:val="nil"/>
              <w:bottom w:color="000000" w:space="0" w:sz="0" w:val="nil"/>
            </w:tcBorders>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da empresa (D)</w:t>
            </w:r>
          </w:p>
        </w:tc>
      </w:tr>
      <w:tr>
        <w:trPr>
          <w:trHeight w:val="380" w:hRule="atLeast"/>
        </w:trPr>
        <w:tc>
          <w:tcPr>
            <w:tcBorders>
              <w:top w:color="000000" w:space="0" w:sz="0" w:val="nil"/>
              <w:bottom w:color="000000" w:space="0" w:sz="0" w:val="nil"/>
              <w:right w:color="000000" w:space="0" w:sz="0" w:val="nil"/>
            </w:tcBorders>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Critério 2</w:t>
            </w:r>
          </w:p>
        </w:tc>
        <w:tc>
          <w:tcPr>
            <w:tcBorders>
              <w:top w:color="000000" w:space="0" w:sz="0" w:val="nil"/>
              <w:left w:color="000000" w:space="0" w:sz="0" w:val="nil"/>
              <w:bottom w:color="000000" w:space="0" w:sz="0" w:val="nil"/>
            </w:tcBorders>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Possível demanda (PD)</w:t>
            </w:r>
          </w:p>
        </w:tc>
      </w:tr>
      <w:tr>
        <w:trPr>
          <w:trHeight w:val="380" w:hRule="atLeast"/>
        </w:trPr>
        <w:tc>
          <w:tcPr>
            <w:tcBorders>
              <w:top w:color="000000" w:space="0" w:sz="0" w:val="nil"/>
              <w:bottom w:color="000000" w:space="0" w:sz="0" w:val="nil"/>
              <w:right w:color="000000" w:space="0" w:sz="0" w:val="nil"/>
            </w:tcBorders>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Critério 3</w:t>
            </w:r>
          </w:p>
        </w:tc>
        <w:tc>
          <w:tcPr>
            <w:tcBorders>
              <w:top w:color="000000" w:space="0" w:sz="0" w:val="nil"/>
              <w:left w:color="000000" w:space="0" w:sz="0" w:val="nil"/>
              <w:bottom w:color="000000" w:space="0" w:sz="0" w:val="nil"/>
            </w:tcBorders>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Proximidade com a rota (PR)</w:t>
            </w:r>
          </w:p>
        </w:tc>
      </w:tr>
      <w:tr>
        <w:trPr>
          <w:trHeight w:val="380" w:hRule="atLeast"/>
        </w:trPr>
        <w:tc>
          <w:tcPr>
            <w:tcBorders>
              <w:top w:color="000000" w:space="0" w:sz="0" w:val="nil"/>
              <w:right w:color="000000" w:space="0" w:sz="0" w:val="nil"/>
            </w:tcBorders>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Critério 4</w:t>
            </w:r>
          </w:p>
        </w:tc>
        <w:tc>
          <w:tcPr>
            <w:tcBorders>
              <w:top w:color="000000" w:space="0" w:sz="0" w:val="nil"/>
              <w:left w:color="000000" w:space="0" w:sz="0" w:val="nil"/>
            </w:tcBorders>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Cidade Turística (CT)</w:t>
            </w:r>
          </w:p>
        </w:tc>
      </w:tr>
    </w:tbl>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o autor.</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critério decido foi a distância entre o local onde é produzidos os itens vendidos pela empresa e as cidades das alternativas. O segundo critério, chamado de possível demanda, está relacionado com o tamanho da população de cada uma das cidades. O critério 3, proximidade com a rota, pode ser quantificado através de quantas cidades já atendidas fazem fronteiras com cada uma das alternativas. O último critério, está relacionado com o volume de turistas em cada uma das cidades, sendo classificada de forma binária, atribuindo 1 para cidades turísticas e 0 para cidades que não são consideradas turísticas.</w:t>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três cidades identificada e escolhidas pelos gestores para a realização do estudo, foram os municípios de Fundão, Guarapari, e Serra, sendo todas no estado do Espírito Santo. A partir dessas cidades foram levantados os dados que possibilitam analisar qual delas é a melhor opção para ser o novo local de mercado para atuação da empresa. Pode ser visto na tabela 2 os valores de cada um dos critérios nas cidades envolvidas na tomada de decisão.</w:t>
      </w:r>
    </w:p>
    <w:p w:rsidR="00000000" w:rsidDel="00000000" w:rsidP="00000000" w:rsidRDefault="00000000" w:rsidRPr="00000000" w14:paraId="000000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tabs>
          <w:tab w:val="left" w:pos="3232"/>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pos="3232"/>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left" w:pos="3232"/>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Valores de cada critério.</w:t>
      </w:r>
    </w:p>
    <w:tbl>
      <w:tblPr>
        <w:tblStyle w:val="Table2"/>
        <w:tblW w:w="10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2153"/>
        <w:gridCol w:w="2153"/>
        <w:gridCol w:w="2153"/>
        <w:gridCol w:w="2153"/>
        <w:gridCol w:w="2153"/>
        <w:tblGridChange w:id="0">
          <w:tblGrid>
            <w:gridCol w:w="2153"/>
            <w:gridCol w:w="2153"/>
            <w:gridCol w:w="2153"/>
            <w:gridCol w:w="2153"/>
            <w:gridCol w:w="2153"/>
          </w:tblGrid>
        </w:tblGridChange>
      </w:tblGrid>
      <w:tr>
        <w:trPr>
          <w:trHeight w:val="380" w:hRule="atLeast"/>
        </w:trPr>
        <w:tc>
          <w:tcPr>
            <w:tcBorders>
              <w:left w:color="000000" w:space="0" w:sz="0" w:val="nil"/>
              <w:bottom w:color="000000" w:space="0" w:sz="4" w:val="single"/>
            </w:tcBorders>
          </w:tcPr>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Alternativas</w:t>
            </w:r>
          </w:p>
        </w:tc>
        <w:tc>
          <w:tcPr>
            <w:gridSpan w:val="4"/>
            <w:tcBorders>
              <w:bottom w:color="000000" w:space="0" w:sz="4" w:val="single"/>
              <w:right w:color="000000" w:space="0" w:sz="0" w:val="nil"/>
            </w:tcBorders>
          </w:tcPr>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Critérios</w:t>
            </w:r>
          </w:p>
        </w:tc>
      </w:tr>
      <w:tr>
        <w:trPr>
          <w:trHeight w:val="380" w:hRule="atLeast"/>
        </w:trPr>
        <w:tc>
          <w:tcPr>
            <w:tcBorders>
              <w:left w:color="000000" w:space="0" w:sz="0" w:val="nil"/>
              <w:bottom w:color="000000" w:space="0" w:sz="0" w:val="nil"/>
            </w:tcBorders>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(Km) </w:t>
            </w:r>
          </w:p>
        </w:tc>
        <w:tc>
          <w:tcPr>
            <w:tcBorders>
              <w:bottom w:color="000000" w:space="0" w:sz="0" w:val="nil"/>
            </w:tcBorders>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w:t>
            </w:r>
          </w:p>
        </w:tc>
        <w:tc>
          <w:tcPr>
            <w:tcBorders>
              <w:bottom w:color="000000" w:space="0" w:sz="0" w:val="nil"/>
            </w:tcBorders>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bottom w:color="000000" w:space="0" w:sz="0" w:val="nil"/>
              <w:right w:color="000000" w:space="0" w:sz="0" w:val="nil"/>
            </w:tcBorders>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w:t>
            </w:r>
          </w:p>
        </w:tc>
      </w:tr>
      <w:tr>
        <w:trPr>
          <w:trHeight w:val="380" w:hRule="atLeast"/>
        </w:trPr>
        <w:tc>
          <w:tcPr>
            <w:tcBorders>
              <w:top w:color="000000" w:space="0" w:sz="0" w:val="nil"/>
              <w:left w:color="000000" w:space="0" w:sz="0" w:val="nil"/>
              <w:bottom w:color="000000" w:space="0" w:sz="0" w:val="nil"/>
            </w:tcBorders>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Fundão</w:t>
            </w:r>
          </w:p>
        </w:tc>
        <w:tc>
          <w:tcPr>
            <w:tcBorders>
              <w:top w:color="000000" w:space="0" w:sz="0" w:val="nil"/>
              <w:bottom w:color="000000" w:space="0" w:sz="0" w:val="nil"/>
            </w:tcBorders>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bottom w:color="000000" w:space="0" w:sz="0" w:val="nil"/>
            </w:tcBorders>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17.632</w:t>
            </w:r>
          </w:p>
        </w:tc>
        <w:tc>
          <w:tcPr>
            <w:tcBorders>
              <w:top w:color="000000" w:space="0" w:sz="0" w:val="nil"/>
              <w:bottom w:color="000000" w:space="0" w:sz="0" w:val="nil"/>
            </w:tcBorders>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right w:color="000000" w:space="0" w:sz="0" w:val="nil"/>
            </w:tcBorders>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trHeight w:val="380" w:hRule="atLeast"/>
        </w:trPr>
        <w:tc>
          <w:tcPr>
            <w:tcBorders>
              <w:top w:color="000000" w:space="0" w:sz="0" w:val="nil"/>
              <w:left w:color="000000" w:space="0" w:sz="0" w:val="nil"/>
              <w:bottom w:color="000000" w:space="0" w:sz="0" w:val="nil"/>
            </w:tcBorders>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Guarapari</w:t>
            </w:r>
          </w:p>
        </w:tc>
        <w:tc>
          <w:tcPr>
            <w:tcBorders>
              <w:top w:color="000000" w:space="0" w:sz="0" w:val="nil"/>
              <w:bottom w:color="000000" w:space="0" w:sz="0" w:val="nil"/>
            </w:tcBorders>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bottom w:color="000000" w:space="0" w:sz="0" w:val="nil"/>
            </w:tcBorders>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100.528</w:t>
            </w:r>
          </w:p>
        </w:tc>
        <w:tc>
          <w:tcPr>
            <w:tcBorders>
              <w:top w:color="000000" w:space="0" w:sz="0" w:val="nil"/>
              <w:bottom w:color="000000" w:space="0" w:sz="0" w:val="nil"/>
            </w:tcBorders>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right w:color="000000" w:space="0" w:sz="0" w:val="nil"/>
            </w:tcBorders>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trHeight w:val="380" w:hRule="atLeast"/>
        </w:trPr>
        <w:tc>
          <w:tcPr>
            <w:tcBorders>
              <w:top w:color="000000" w:space="0" w:sz="0" w:val="nil"/>
              <w:left w:color="000000" w:space="0" w:sz="0" w:val="nil"/>
            </w:tcBorders>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Serra</w:t>
            </w:r>
          </w:p>
        </w:tc>
        <w:tc>
          <w:tcPr>
            <w:tcBorders>
              <w:top w:color="000000" w:space="0" w:sz="0" w:val="nil"/>
            </w:tcBorders>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tcBorders>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112.555</w:t>
            </w:r>
          </w:p>
        </w:tc>
        <w:tc>
          <w:tcPr>
            <w:tcBorders>
              <w:top w:color="000000" w:space="0" w:sz="0" w:val="nil"/>
            </w:tcBorders>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right w:color="000000" w:space="0" w:sz="0" w:val="nil"/>
            </w:tcBorders>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3F">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o autor.</w:t>
      </w:r>
    </w:p>
    <w:p w:rsidR="00000000" w:rsidDel="00000000" w:rsidP="00000000" w:rsidRDefault="00000000" w:rsidRPr="00000000" w14:paraId="00000040">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 partir dos dados da tabela 2 foram desenvolvidos os cálculos referentes ao Método de Copeland, na qual foi realizado uma matriz comparando par a par cada um dos critérios e assim chegou-se a matriz superação com a soma das diferenças entre as alternativas, e os resultados estão apresentados, na tabela 3 a seguir.</w:t>
      </w:r>
    </w:p>
    <w:p w:rsidR="00000000" w:rsidDel="00000000" w:rsidP="00000000" w:rsidRDefault="00000000" w:rsidRPr="00000000" w14:paraId="00000042">
      <w:pPr>
        <w:ind w:firstLine="720"/>
        <w:jc w:val="both"/>
        <w:rPr>
          <w:rFonts w:ascii="Times New Roman" w:cs="Times New Roman" w:eastAsia="Times New Roman" w:hAnsi="Times New Roman"/>
          <w:sz w:val="24"/>
          <w:szCs w:val="24"/>
        </w:rPr>
      </w:pPr>
      <w:bookmarkStart w:colFirst="0" w:colLast="0" w:name="_heading=h.eb47hu94zu59" w:id="1"/>
      <w:bookmarkEnd w:id="1"/>
      <w:r w:rsidDel="00000000" w:rsidR="00000000" w:rsidRPr="00000000">
        <w:rPr>
          <w:rtl w:val="0"/>
        </w:rPr>
      </w:r>
    </w:p>
    <w:p w:rsidR="00000000" w:rsidDel="00000000" w:rsidP="00000000" w:rsidRDefault="00000000" w:rsidRPr="00000000" w14:paraId="00000043">
      <w:pPr>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tabs>
          <w:tab w:val="left" w:pos="3232"/>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Matriz superação e soma das diferenças.</w:t>
      </w:r>
    </w:p>
    <w:p w:rsidR="00000000" w:rsidDel="00000000" w:rsidP="00000000" w:rsidRDefault="00000000" w:rsidRPr="00000000" w14:paraId="00000045">
      <w:pPr>
        <w:tabs>
          <w:tab w:val="left" w:pos="3232"/>
        </w:tabs>
        <w:jc w:val="center"/>
        <w:rPr>
          <w:rFonts w:ascii="Times New Roman" w:cs="Times New Roman" w:eastAsia="Times New Roman" w:hAnsi="Times New Roman"/>
          <w:sz w:val="24"/>
          <w:szCs w:val="24"/>
        </w:rPr>
      </w:pPr>
      <w:r w:rsidDel="00000000" w:rsidR="00000000" w:rsidRPr="00000000">
        <w:rPr>
          <w:rtl w:val="0"/>
        </w:rPr>
      </w:r>
    </w:p>
    <w:tbl>
      <w:tblPr>
        <w:tblStyle w:val="Table3"/>
        <w:tblW w:w="6420.0" w:type="dxa"/>
        <w:jc w:val="center"/>
        <w:tblBorders>
          <w:top w:color="000000" w:space="0" w:sz="4" w:val="single"/>
          <w:bottom w:color="000000" w:space="0" w:sz="4" w:val="single"/>
        </w:tblBorders>
        <w:tblLayout w:type="fixed"/>
        <w:tblLook w:val="0400"/>
      </w:tblPr>
      <w:tblGrid>
        <w:gridCol w:w="2060"/>
        <w:gridCol w:w="1120"/>
        <w:gridCol w:w="1320"/>
        <w:gridCol w:w="960"/>
        <w:gridCol w:w="960"/>
        <w:tblGridChange w:id="0">
          <w:tblGrid>
            <w:gridCol w:w="2060"/>
            <w:gridCol w:w="1120"/>
            <w:gridCol w:w="1320"/>
            <w:gridCol w:w="960"/>
            <w:gridCol w:w="960"/>
          </w:tblGrid>
        </w:tblGridChange>
      </w:tblGrid>
      <w:tr>
        <w:trPr>
          <w:trHeight w:val="380" w:hRule="atLeast"/>
        </w:trPr>
        <w:tc>
          <w:tcPr>
            <w:shd w:fill="auto" w:val="clear"/>
            <w:vAlign w:val="center"/>
          </w:tcPr>
          <w:p w:rsidR="00000000" w:rsidDel="00000000" w:rsidP="00000000" w:rsidRDefault="00000000" w:rsidRPr="00000000" w14:paraId="0000004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Fundão</w:t>
            </w:r>
          </w:p>
        </w:tc>
        <w:tc>
          <w:tcPr>
            <w:shd w:fill="auto" w:val="clea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Guarapari</w:t>
            </w:r>
          </w:p>
        </w:tc>
        <w:tc>
          <w:tcPr>
            <w:shd w:fill="auto" w:val="clear"/>
            <w:vAlign w:val="center"/>
          </w:tcPr>
          <w:p w:rsidR="00000000" w:rsidDel="00000000" w:rsidP="00000000" w:rsidRDefault="00000000" w:rsidRPr="00000000" w14:paraId="00000049">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Serra</w:t>
            </w:r>
          </w:p>
        </w:tc>
        <w:tc>
          <w:tcPr>
            <w:shd w:fill="auto" w:val="clea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Soma</w:t>
            </w:r>
          </w:p>
        </w:tc>
      </w:tr>
      <w:tr>
        <w:trPr>
          <w:trHeight w:val="380" w:hRule="atLeast"/>
        </w:trPr>
        <w:tc>
          <w:tcPr>
            <w:shd w:fill="auto" w:val="clear"/>
            <w:vAlign w:val="center"/>
          </w:tcPr>
          <w:p w:rsidR="00000000" w:rsidDel="00000000" w:rsidP="00000000" w:rsidRDefault="00000000" w:rsidRPr="00000000" w14:paraId="0000004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Fundão</w:t>
            </w:r>
          </w:p>
        </w:tc>
        <w:tc>
          <w:tcPr>
            <w:shd w:fill="auto" w:val="clear"/>
            <w:vAlign w:val="center"/>
          </w:tcPr>
          <w:p w:rsidR="00000000" w:rsidDel="00000000" w:rsidP="00000000" w:rsidRDefault="00000000" w:rsidRPr="00000000" w14:paraId="0000004C">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4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4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trHeight w:val="380" w:hRule="atLeast"/>
        </w:trPr>
        <w:tc>
          <w:tcPr>
            <w:shd w:fill="auto" w:val="clear"/>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Guarapari</w:t>
            </w:r>
          </w:p>
        </w:tc>
        <w:tc>
          <w:tcPr>
            <w:shd w:fill="auto" w:val="clear"/>
            <w:vAlign w:val="center"/>
          </w:tcPr>
          <w:p w:rsidR="00000000" w:rsidDel="00000000" w:rsidP="00000000" w:rsidRDefault="00000000" w:rsidRPr="00000000" w14:paraId="00000051">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r>
      <w:tr>
        <w:trPr>
          <w:trHeight w:val="380" w:hRule="atLeast"/>
        </w:trPr>
        <w:tc>
          <w:tcPr>
            <w:shd w:fill="auto" w:val="clear"/>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Serra</w:t>
            </w:r>
          </w:p>
        </w:tc>
        <w:tc>
          <w:tcPr>
            <w:shd w:fill="auto" w:val="clear"/>
            <w:vAlign w:val="center"/>
          </w:tcPr>
          <w:p w:rsidR="00000000" w:rsidDel="00000000" w:rsidP="00000000" w:rsidRDefault="00000000" w:rsidRPr="00000000" w14:paraId="0000005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5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58">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bl>
    <w:p w:rsidR="00000000" w:rsidDel="00000000" w:rsidP="00000000" w:rsidRDefault="00000000" w:rsidRPr="00000000" w14:paraId="0000005A">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o autor.</w:t>
      </w:r>
    </w:p>
    <w:p w:rsidR="00000000" w:rsidDel="00000000" w:rsidP="00000000" w:rsidRDefault="00000000" w:rsidRPr="00000000" w14:paraId="0000005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final da aplicação do Método de Copeland, chegou-se ao resultado que pode ser visto na tabela 4, no qual o município da Serra foi classificado como a cidade mais indicada a ser a nova localização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pos="3232"/>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4: Ordenação das cidades.</w:t>
      </w:r>
    </w:p>
    <w:p w:rsidR="00000000" w:rsidDel="00000000" w:rsidP="00000000" w:rsidRDefault="00000000" w:rsidRPr="00000000" w14:paraId="0000005F">
      <w:pPr>
        <w:tabs>
          <w:tab w:val="left" w:pos="3232"/>
        </w:tabs>
        <w:jc w:val="center"/>
        <w:rPr>
          <w:rFonts w:ascii="Times New Roman" w:cs="Times New Roman" w:eastAsia="Times New Roman" w:hAnsi="Times New Roman"/>
          <w:sz w:val="24"/>
          <w:szCs w:val="24"/>
        </w:rPr>
      </w:pPr>
      <w:r w:rsidDel="00000000" w:rsidR="00000000" w:rsidRPr="00000000">
        <w:rPr>
          <w:rtl w:val="0"/>
        </w:rPr>
      </w:r>
    </w:p>
    <w:tbl>
      <w:tblPr>
        <w:tblStyle w:val="Table4"/>
        <w:tblW w:w="2980.0" w:type="dxa"/>
        <w:jc w:val="center"/>
        <w:tblBorders>
          <w:top w:color="000000" w:space="0" w:sz="4" w:val="single"/>
          <w:bottom w:color="000000" w:space="0" w:sz="4" w:val="single"/>
          <w:insideH w:color="000000" w:space="0" w:sz="4" w:val="single"/>
        </w:tblBorders>
        <w:tblLayout w:type="fixed"/>
        <w:tblLook w:val="0400"/>
      </w:tblPr>
      <w:tblGrid>
        <w:gridCol w:w="1740"/>
        <w:gridCol w:w="1240"/>
        <w:tblGridChange w:id="0">
          <w:tblGrid>
            <w:gridCol w:w="1740"/>
            <w:gridCol w:w="1240"/>
          </w:tblGrid>
        </w:tblGridChange>
      </w:tblGrid>
      <w:tr>
        <w:trPr>
          <w:trHeight w:val="300" w:hRule="atLeast"/>
        </w:trPr>
        <w:tc>
          <w:tcPr>
            <w:tcBorders>
              <w:bottom w:color="000000" w:space="0" w:sz="4" w:val="single"/>
            </w:tcBorders>
            <w:shd w:fill="auto" w:val="clear"/>
            <w:vAlign w:val="center"/>
          </w:tcPr>
          <w:p w:rsidR="00000000" w:rsidDel="00000000" w:rsidP="00000000" w:rsidRDefault="00000000" w:rsidRPr="00000000" w14:paraId="00000060">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Ordem</w:t>
            </w:r>
          </w:p>
        </w:tc>
        <w:tc>
          <w:tcPr>
            <w:tcBorders>
              <w:bottom w:color="000000" w:space="0" w:sz="4" w:val="single"/>
            </w:tcBorders>
            <w:shd w:fill="auto" w:val="clear"/>
            <w:vAlign w:val="center"/>
          </w:tcPr>
          <w:p w:rsidR="00000000" w:rsidDel="00000000" w:rsidP="00000000" w:rsidRDefault="00000000" w:rsidRPr="00000000" w14:paraId="00000061">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Cidade</w:t>
            </w:r>
          </w:p>
        </w:tc>
      </w:tr>
      <w:tr>
        <w:trPr>
          <w:trHeight w:val="300" w:hRule="atLeast"/>
        </w:trPr>
        <w:tc>
          <w:tcPr>
            <w:tcBorders>
              <w:bottom w:color="000000" w:space="0" w:sz="0" w:val="nil"/>
            </w:tcBorders>
            <w:shd w:fill="auto" w:val="clear"/>
            <w:vAlign w:val="center"/>
          </w:tcPr>
          <w:p w:rsidR="00000000" w:rsidDel="00000000" w:rsidP="00000000" w:rsidRDefault="00000000" w:rsidRPr="00000000" w14:paraId="00000062">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1º</w:t>
            </w:r>
          </w:p>
        </w:tc>
        <w:tc>
          <w:tcPr>
            <w:tcBorders>
              <w:bottom w:color="000000" w:space="0" w:sz="0" w:val="nil"/>
            </w:tcBorders>
            <w:shd w:fill="auto" w:val="clea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Serra</w:t>
            </w:r>
          </w:p>
        </w:tc>
      </w:tr>
      <w:tr>
        <w:trPr>
          <w:trHeight w:val="300" w:hRule="atLeast"/>
        </w:trPr>
        <w:tc>
          <w:tcPr>
            <w:tcBorders>
              <w:top w:color="000000" w:space="0" w:sz="0" w:val="nil"/>
              <w:bottom w:color="000000" w:space="0" w:sz="0" w:val="nil"/>
            </w:tcBorders>
            <w:shd w:fill="auto" w:val="clear"/>
            <w:vAlign w:val="center"/>
          </w:tcPr>
          <w:p w:rsidR="00000000" w:rsidDel="00000000" w:rsidP="00000000" w:rsidRDefault="00000000" w:rsidRPr="00000000" w14:paraId="00000064">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2º</w:t>
            </w:r>
          </w:p>
        </w:tc>
        <w:tc>
          <w:tcPr>
            <w:tcBorders>
              <w:top w:color="000000" w:space="0" w:sz="0" w:val="nil"/>
              <w:bottom w:color="000000" w:space="0" w:sz="0" w:val="nil"/>
            </w:tcBorders>
            <w:shd w:fill="auto" w:val="clea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Guarapari</w:t>
            </w:r>
          </w:p>
        </w:tc>
      </w:tr>
      <w:tr>
        <w:trPr>
          <w:trHeight w:val="300" w:hRule="atLeast"/>
        </w:trPr>
        <w:tc>
          <w:tcPr>
            <w:tcBorders>
              <w:top w:color="000000" w:space="0" w:sz="0" w:val="nil"/>
            </w:tcBorders>
            <w:shd w:fill="auto" w:val="clear"/>
            <w:vAlign w:val="center"/>
          </w:tcPr>
          <w:p w:rsidR="00000000" w:rsidDel="00000000" w:rsidP="00000000" w:rsidRDefault="00000000" w:rsidRPr="00000000" w14:paraId="00000066">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3º</w:t>
            </w:r>
          </w:p>
        </w:tc>
        <w:tc>
          <w:tcPr>
            <w:tcBorders>
              <w:top w:color="000000" w:space="0" w:sz="0" w:val="nil"/>
            </w:tcBorders>
            <w:shd w:fill="auto" w:val="clear"/>
            <w:vAlign w:val="center"/>
          </w:tcPr>
          <w:p w:rsidR="00000000" w:rsidDel="00000000" w:rsidP="00000000" w:rsidRDefault="00000000" w:rsidRPr="00000000" w14:paraId="0000006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Fundão</w:t>
            </w:r>
          </w:p>
        </w:tc>
      </w:tr>
    </w:tbl>
    <w:p w:rsidR="00000000" w:rsidDel="00000000" w:rsidP="00000000" w:rsidRDefault="00000000" w:rsidRPr="00000000" w14:paraId="00000068">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o autor.</w:t>
      </w:r>
    </w:p>
    <w:sectPr>
      <w:headerReference r:id="rId7" w:type="default"/>
      <w:pgSz w:h="16834" w:w="11909"/>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styleId="RecuodecorpodetextoChar" w:customStyle="1">
    <w:name w:val="Recuo de corpo de texto Char"/>
    <w:basedOn w:val="Fontepargpadro"/>
    <w:link w:val="Recuodecorpodetexto"/>
    <w:rsid w:val="003D7F55"/>
    <w:rPr>
      <w:rFonts w:eastAsia="Times New Roman"/>
      <w:sz w:val="24"/>
      <w:szCs w:val="24"/>
      <w:lang w:eastAsia="en-US"/>
    </w:rPr>
  </w:style>
  <w:style w:type="character" w:styleId="authors" w:customStyle="1">
    <w:name w:val="authors"/>
    <w:basedOn w:val="Fontepargpadro"/>
    <w:rsid w:val="001C7062"/>
  </w:style>
  <w:style w:type="character" w:styleId="Data1" w:customStyle="1">
    <w:name w:val="Data1"/>
    <w:basedOn w:val="Fontepargpadro"/>
    <w:rsid w:val="001C7062"/>
  </w:style>
  <w:style w:type="character" w:styleId="arttitle" w:customStyle="1">
    <w:name w:val="art_title"/>
    <w:basedOn w:val="Fontepargpadro"/>
    <w:rsid w:val="001C7062"/>
  </w:style>
  <w:style w:type="character" w:styleId="serialtitle" w:customStyle="1">
    <w:name w:val="serial_title"/>
    <w:basedOn w:val="Fontepargpadro"/>
    <w:rsid w:val="001C7062"/>
  </w:style>
  <w:style w:type="character" w:styleId="volumeissue" w:customStyle="1">
    <w:name w:val="volume_issue"/>
    <w:basedOn w:val="Fontepargpadro"/>
    <w:rsid w:val="001C7062"/>
  </w:style>
  <w:style w:type="character" w:styleId="pagerange" w:customStyle="1">
    <w:name w:val="page_range"/>
    <w:basedOn w:val="Fontepargpadro"/>
    <w:rsid w:val="001C7062"/>
  </w:style>
  <w:style w:type="character" w:styleId="doilink" w:customStyle="1">
    <w:name w:val="doi_link"/>
    <w:basedOn w:val="Fontepargpadro"/>
    <w:rsid w:val="001C7062"/>
  </w:style>
  <w:style w:type="character" w:styleId="Hyperlink">
    <w:name w:val="Hyperlink"/>
    <w:basedOn w:val="Fontepargpadro"/>
    <w:uiPriority w:val="99"/>
    <w:semiHidden w:val="1"/>
    <w:unhideWhenUsed w:val="1"/>
    <w:rsid w:val="001C7062"/>
    <w:rPr>
      <w:color w:val="0000ff"/>
      <w:u w:val="single"/>
    </w:rPr>
  </w:style>
  <w:style w:type="character" w:styleId="nfase">
    <w:name w:val="Emphasis"/>
    <w:basedOn w:val="Fontepargpadro"/>
    <w:uiPriority w:val="20"/>
    <w:qFormat w:val="1"/>
    <w:rsid w:val="00CE1CC6"/>
    <w:rPr>
      <w:i w:val="1"/>
      <w:iCs w:val="1"/>
    </w:rPr>
  </w:style>
  <w:style w:type="paragraph" w:styleId="PargrafodaLista">
    <w:name w:val="List Paragraph"/>
    <w:basedOn w:val="Normal"/>
    <w:uiPriority w:val="34"/>
    <w:qFormat w:val="1"/>
    <w:rsid w:val="00CE1CC6"/>
    <w:pPr>
      <w:ind w:left="720"/>
      <w:contextualSpacing w:val="1"/>
    </w:pPr>
  </w:style>
  <w:style w:type="table" w:styleId="Tabelacomgrade">
    <w:name w:val="Table Grid"/>
    <w:basedOn w:val="Tabelanormal"/>
    <w:uiPriority w:val="39"/>
    <w:rsid w:val="00E638D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fp0bx6PNKOACfEexZjUkAlnIbA==">AMUW2mXYAm9AzwrTn8vs1g/YT3bw8iPGaShGqU6IDdrCNy0Pw/aKepQ/kJ1ZUcVGMwBUZnfbaCGXc/JyErCLDVYfWgYzRJjPnADqnYGkaFVMv1kXI4GLVp10VSZ7AcGjS3TKfSd7t4XIADmakraUh/vX6RZ5ViYLkw==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2019-10-14T13:41:00Z</dcterms:created>
  <dc:creator>Jordan Lucas Duarte Dias</dc:creator>
</cp:coreProperties>
</file>