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Cláudio Leonardo Emanuel da Cruz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854.184.926-08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9301352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Cláudio Leonardo Emanuel da Cruz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854.184.926-08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