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João Noah Gustavo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801.155.744-09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5421582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João Noah Gustavo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801.155.744-09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