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Eduardo meirelles Quintella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173.223.717-47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PE080ZKP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34293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Eduardo meirelles Quintella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173.223.717-47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