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Mariana Reis kokkinos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063.156.951-08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PE07ZXLH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34245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Mariana Reis kokkinos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063.156.951-08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