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MARCELA AMABILE MICHELETTI TEOFILO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400.240.638-51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MARCELA AMABILE MICHELETTI TEOFILO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400.240.638-51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