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Fair Side of Chance: How Uncertainty, Power and Fairness Impact Strategic Behavior</w:t>
      </w:r>
    </w:p>
    <w:p w:rsidR="00000000" w:rsidDel="00000000" w:rsidP="00000000" w:rsidRDefault="00000000" w:rsidRPr="00000000" w14:paraId="00000007">
      <w:pPr>
        <w:pageBreakBefore w:val="0"/>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ageBreakBefore w:val="0"/>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Selesnick (jselesni@sas.upenn.edu)</w:t>
      </w:r>
    </w:p>
    <w:p w:rsidR="00000000" w:rsidDel="00000000" w:rsidP="00000000" w:rsidRDefault="00000000" w:rsidRPr="00000000" w14:paraId="0000000C">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Cullen (</w:t>
      </w:r>
      <w:r w:rsidDel="00000000" w:rsidR="00000000" w:rsidRPr="00000000">
        <w:rPr>
          <w:rFonts w:ascii="Times New Roman" w:cs="Times New Roman" w:eastAsia="Times New Roman" w:hAnsi="Times New Roman"/>
          <w:color w:val="222222"/>
          <w:sz w:val="24"/>
          <w:szCs w:val="24"/>
          <w:highlight w:val="white"/>
          <w:rtl w:val="0"/>
        </w:rPr>
        <w:t xml:space="preserve">atcullen@sas.upenn.edu)</w:t>
      </w:r>
      <w:r w:rsidDel="00000000" w:rsidR="00000000" w:rsidRPr="00000000">
        <w:rPr>
          <w:rtl w:val="0"/>
        </w:rPr>
      </w:r>
    </w:p>
    <w:p w:rsidR="00000000" w:rsidDel="00000000" w:rsidP="00000000" w:rsidRDefault="00000000" w:rsidRPr="00000000" w14:paraId="0000000D">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Jacobs (</w:t>
      </w:r>
      <w:r w:rsidDel="00000000" w:rsidR="00000000" w:rsidRPr="00000000">
        <w:rPr>
          <w:rFonts w:ascii="Times New Roman" w:cs="Times New Roman" w:eastAsia="Times New Roman" w:hAnsi="Times New Roman"/>
          <w:color w:val="222222"/>
          <w:sz w:val="24"/>
          <w:szCs w:val="24"/>
          <w:highlight w:val="white"/>
          <w:rtl w:val="0"/>
        </w:rPr>
        <w:t xml:space="preserve">shjacobs@sas.upenn.edu)</w:t>
      </w:r>
      <w:r w:rsidDel="00000000" w:rsidR="00000000" w:rsidRPr="00000000">
        <w:rPr>
          <w:rtl w:val="0"/>
        </w:rPr>
      </w:r>
    </w:p>
    <w:p w:rsidR="00000000" w:rsidDel="00000000" w:rsidP="00000000" w:rsidRDefault="00000000" w:rsidRPr="00000000" w14:paraId="0000000E">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Public Goods Game, Uncertainty, Cooperation, Power, Parity</w:t>
      </w:r>
      <w:r w:rsidDel="00000000" w:rsidR="00000000" w:rsidRPr="00000000">
        <w:rPr>
          <w:rtl w:val="0"/>
        </w:rPr>
      </w:r>
    </w:p>
    <w:p w:rsidR="00000000" w:rsidDel="00000000" w:rsidP="00000000" w:rsidRDefault="00000000" w:rsidRPr="00000000" w14:paraId="00000016">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bookmarkStart w:colFirst="0" w:colLast="0" w:name="ktegi1lh8j8w" w:id="0"/>
    <w:bookmarkEnd w:id="0"/>
    <w:p w:rsidR="00000000" w:rsidDel="00000000" w:rsidP="00000000" w:rsidRDefault="00000000" w:rsidRPr="00000000" w14:paraId="00000025">
      <w:pPr>
        <w:pageBreakBefore w:val="0"/>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6">
      <w:pPr>
        <w:pageBreakBefore w:val="0"/>
        <w:widowControl w:val="0"/>
        <w:spacing w:line="276" w:lineRule="auto"/>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027">
      <w:pPr>
        <w:pageBreakBefore w:val="0"/>
        <w:widowControl w:val="0"/>
        <w:spacing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Uncertainty plays a fundamental role in contribution decisions for public goods. In public goods games (PGGs), researchers have explored the impact of two types of uncertainty on contribution rates: </w:t>
      </w:r>
      <w:r w:rsidDel="00000000" w:rsidR="00000000" w:rsidRPr="00000000">
        <w:rPr>
          <w:rFonts w:ascii="Times New Roman" w:cs="Times New Roman" w:eastAsia="Times New Roman" w:hAnsi="Times New Roman"/>
          <w:color w:val="0e101a"/>
          <w:sz w:val="24"/>
          <w:szCs w:val="24"/>
          <w:rtl w:val="0"/>
        </w:rPr>
        <w:t xml:space="preserve">strategic</w:t>
      </w:r>
      <w:r w:rsidDel="00000000" w:rsidR="00000000" w:rsidRPr="00000000">
        <w:rPr>
          <w:rFonts w:ascii="Times New Roman" w:cs="Times New Roman" w:eastAsia="Times New Roman" w:hAnsi="Times New Roman"/>
          <w:color w:val="0e101a"/>
          <w:sz w:val="24"/>
          <w:szCs w:val="24"/>
          <w:rtl w:val="0"/>
        </w:rPr>
        <w:t xml:space="preserve"> uncertainty (ambiguity about other players' decisions) and to a lesser extent, resource uncertainty (ambiguity about the public good itself). In this paper, we explore how the way in which resource uncertainty is framed – particularly around perceptions of fairness – affects both contributions to a public good, and</w:t>
      </w:r>
      <w:r w:rsidDel="00000000" w:rsidR="00000000" w:rsidRPr="00000000">
        <w:rPr>
          <w:rFonts w:ascii="Times New Roman" w:cs="Times New Roman" w:eastAsia="Times New Roman" w:hAnsi="Times New Roman"/>
          <w:color w:val="0e101a"/>
          <w:sz w:val="24"/>
          <w:szCs w:val="24"/>
          <w:rtl w:val="0"/>
        </w:rPr>
        <w:t xml:space="preserve"> perceptions of fairness</w:t>
      </w:r>
      <w:r w:rsidDel="00000000" w:rsidR="00000000" w:rsidRPr="00000000">
        <w:rPr>
          <w:rFonts w:ascii="Times New Roman" w:cs="Times New Roman" w:eastAsia="Times New Roman" w:hAnsi="Times New Roman"/>
          <w:color w:val="0e101a"/>
          <w:sz w:val="24"/>
          <w:szCs w:val="24"/>
          <w:rtl w:val="0"/>
        </w:rPr>
        <w:t xml:space="preserve">. We</w:t>
      </w:r>
      <w:r w:rsidDel="00000000" w:rsidR="00000000" w:rsidRPr="00000000">
        <w:rPr>
          <w:rFonts w:ascii="Times New Roman" w:cs="Times New Roman" w:eastAsia="Times New Roman" w:hAnsi="Times New Roman"/>
          <w:sz w:val="24"/>
          <w:szCs w:val="24"/>
          <w:rtl w:val="0"/>
        </w:rPr>
        <w:t xml:space="preserve"> will use MTurk to conduct between-subject PGGs, randomizing participants into 5 conditions that vary how uncertainty is determined, and who it affects. Participants will read an uncertainty statement based on their condition and then play 8</w:t>
      </w:r>
      <w:r w:rsidDel="00000000" w:rsidR="00000000" w:rsidRPr="00000000">
        <w:rPr>
          <w:rFonts w:ascii="Times New Roman" w:cs="Times New Roman" w:eastAsia="Times New Roman" w:hAnsi="Times New Roman"/>
          <w:sz w:val="24"/>
          <w:szCs w:val="24"/>
          <w:rtl w:val="0"/>
        </w:rPr>
        <w:t xml:space="preserve"> rounds of a stranger </w:t>
      </w:r>
      <w:r w:rsidDel="00000000" w:rsidR="00000000" w:rsidRPr="00000000">
        <w:rPr>
          <w:rFonts w:ascii="Times New Roman" w:cs="Times New Roman" w:eastAsia="Times New Roman" w:hAnsi="Times New Roman"/>
          <w:sz w:val="24"/>
          <w:szCs w:val="24"/>
          <w:rtl w:val="0"/>
        </w:rPr>
        <w:t xml:space="preserve">PGG designed in Smartriqs. They will then be asked a series of questions aimed at understanding how fair they believe the game to be, and how large a role fairness played in their decisions. Wilcoxon rank sum tests will be used to measure differences between treatment arms relative to themselves and the control group.</w:t>
      </w:r>
      <w:r w:rsidDel="00000000" w:rsidR="00000000" w:rsidRPr="00000000">
        <w:rPr>
          <w:rtl w:val="0"/>
        </w:rPr>
      </w:r>
    </w:p>
    <w:p w:rsidR="00000000" w:rsidDel="00000000" w:rsidP="00000000" w:rsidRDefault="00000000" w:rsidRPr="00000000" w14:paraId="00000028">
      <w:pPr>
        <w:pageBreakBefore w:val="0"/>
        <w:widowControl w:val="0"/>
        <w:spacing w:line="276" w:lineRule="auto"/>
        <w:rPr>
          <w:rFonts w:ascii="Times New Roman" w:cs="Times New Roman" w:eastAsia="Times New Roman" w:hAnsi="Times New Roman"/>
          <w:color w:val="0e101a"/>
          <w:sz w:val="24"/>
          <w:szCs w:val="24"/>
        </w:rPr>
      </w:pPr>
      <w:r w:rsidDel="00000000" w:rsidR="00000000" w:rsidRPr="00000000">
        <w:rPr>
          <w:rtl w:val="0"/>
        </w:rPr>
      </w:r>
    </w:p>
    <w:bookmarkStart w:colFirst="0" w:colLast="0" w:name="d6bf5iz6ejh4" w:id="1"/>
    <w:bookmarkEnd w:id="1"/>
    <w:p w:rsidR="00000000" w:rsidDel="00000000" w:rsidP="00000000" w:rsidRDefault="00000000" w:rsidRPr="00000000" w14:paraId="00000029">
      <w:pPr>
        <w:pageBreakBefore w:val="0"/>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A">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discourse on prosocial behavior in public goods settings, uncertainty is a crucial factor that has been shown to influence decision making (Gangadharan &amp; Nemes 2009). The most fundamental type of uncertainty is strategic: players cannot precisely determine what their partners will do. This leads to a challenge in coordination in which donations function as signaling tools that can potentially alleviate uncertainty. However imprecise, such signals lead to beliefs about others, which have been shown to impact decisions. If a player believes that their partner will conditionally cooperate, they are likely to donate a high amount in early rounds to induce their partner to follow suit in the future. Yet risk persists; there is no guarantee that they will reciprocate.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in PGGs can also come from the public good itself – what we will call “resource uncertainty."  The return created by a public good may not be stable or easily measurable. It is quite possible that the benefit of reducing emissions to preserve the public good of clean air may change as air pollution levels change, meaning one’s action today may not provide the same benefit tomorrow. The proportion of benefits realized may change as well, when the gains of a public good become more favorable for certain groups. In the laboratory, these phenomena manifest themselves as the MPCR, and the proportion of the public fund that players receive.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uncertainty is less studied than its strategic cousin, yet we believe it plays a critical factor in understanding how people interact with public goods. In the literature, there have been two crucial findings that have shed light on unique aspects of resource uncertainty. First, a series of papers by Dannenberg et al. use the threshold PGG model to explore the impact of introducing different levels of uncertainty in the “threshold” that determines when subjects receive payments. Here, the researchers found that individuals contribute less to public goods when thresholds are uncertain, presumably due to the risk that their contributions may lead to low payoffs if below the unclear threshold (Dannenberg et al. 2011). Second, Butera and List evaluated whether bounded uncertainty of the MPCR impacted contribution rates. They found that individuals gave more to the public good when the MPCR was uncertain with a high effect in their initial study, and a smaller effect in replications (Butera, List, &amp; Villeval, 2020). The higher contributions were likely due to opacity; it was unclear to players whether outcomes were due to a variable MPCR or the contributions of their partners, a finding we discuss in more detail in our Theory of Change section (Butera &amp; List, 2017).</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aforementioned studies provide valuable insight into the role of resource uncertainty in PGGs, they do not address two key factors inherent to resource uncertainty that we believe potentially play a role in contribution decisions: power and parity. First, existing </w:t>
      </w:r>
      <w:r w:rsidDel="00000000" w:rsidR="00000000" w:rsidRPr="00000000">
        <w:rPr>
          <w:rFonts w:ascii="Times New Roman" w:cs="Times New Roman" w:eastAsia="Times New Roman" w:hAnsi="Times New Roman"/>
          <w:sz w:val="24"/>
          <w:szCs w:val="24"/>
          <w:rtl w:val="0"/>
        </w:rPr>
        <w:t xml:space="preserve">literature</w:t>
      </w:r>
      <w:r w:rsidDel="00000000" w:rsidR="00000000" w:rsidRPr="00000000">
        <w:rPr>
          <w:rFonts w:ascii="Times New Roman" w:cs="Times New Roman" w:eastAsia="Times New Roman" w:hAnsi="Times New Roman"/>
          <w:sz w:val="24"/>
          <w:szCs w:val="24"/>
          <w:rtl w:val="0"/>
        </w:rPr>
        <w:t xml:space="preserve"> frames uncertainty primarily as a “fair” function of the game where all parties involved experience it equally (Gächter, Kölle, &amp; Quercia, 2017). We believe that this does not accurately reflect experience with a public good, which though collectively owned is often managed by a group of individuals in power. Others may feel that uncertainty created by the managing group is less fair relative to a random cause, a factor likely to impact contribution decisions. Second, the studies mentioned each explore resource uncertainty as shared experience across all parties. However, individuals often do not experience the same level of uncertainty around a given public good. Certain individuals or groups are often insulated from effects of uncertainty. We believe imparity is an important social factor, which needs to be explored when evaluating the impact of uncertainty in PGGs. We aim to dissect these factors by isolating and controlling them in an effort to capture their effect in the context of a repeated PGG.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resource uncertainty (represented by the MPCR) alter the willingness of individuals to contribute to a public good.</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beliefs about the source of the uncertainty (e.g. whether uncertainty is caused by individuals or is a function of nature) alter an individual's willingness to contribute to a public good.</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beliefs about parity (e.g. whether certain individuals experience uncertainty and others do not) alter an individual's willingness to contribute to a public good.</w:t>
      </w:r>
    </w:p>
    <w:p w:rsidR="00000000" w:rsidDel="00000000" w:rsidP="00000000" w:rsidRDefault="00000000" w:rsidRPr="00000000" w14:paraId="00000037">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bookmarkStart w:colFirst="0" w:colLast="0" w:name="d41zp2khtpy1" w:id="2"/>
    <w:bookmarkEnd w:id="2"/>
    <w:p w:rsidR="00000000" w:rsidDel="00000000" w:rsidP="00000000" w:rsidRDefault="00000000" w:rsidRPr="00000000" w14:paraId="00000039">
      <w:pPr>
        <w:pageBreakBefore w:val="0"/>
        <w:spacing w:line="276"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DESIGN</w:t>
      </w:r>
      <w:r w:rsidDel="00000000" w:rsidR="00000000" w:rsidRPr="00000000">
        <w:rPr>
          <w:rtl w:val="0"/>
        </w:rPr>
      </w:r>
    </w:p>
    <w:p w:rsidR="00000000" w:rsidDel="00000000" w:rsidP="00000000" w:rsidRDefault="00000000" w:rsidRPr="00000000" w14:paraId="0000003A">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w:t>
      </w:r>
      <w:r w:rsidDel="00000000" w:rsidR="00000000" w:rsidRPr="00000000">
        <w:rPr>
          <w:rFonts w:ascii="Times New Roman" w:cs="Times New Roman" w:eastAsia="Times New Roman" w:hAnsi="Times New Roman"/>
          <w:b w:val="1"/>
          <w:sz w:val="24"/>
          <w:szCs w:val="24"/>
          <w:rtl w:val="0"/>
        </w:rPr>
        <w:t xml:space="preserve"> Methodological Framework</w:t>
      </w:r>
    </w:p>
    <w:p w:rsidR="00000000" w:rsidDel="00000000" w:rsidP="00000000" w:rsidRDefault="00000000" w:rsidRPr="00000000" w14:paraId="0000003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our experimental research, we will employ a </w:t>
      </w:r>
      <w:r w:rsidDel="00000000" w:rsidR="00000000" w:rsidRPr="00000000">
        <w:rPr>
          <w:rFonts w:ascii="Times New Roman" w:cs="Times New Roman" w:eastAsia="Times New Roman" w:hAnsi="Times New Roman"/>
          <w:color w:val="0e101a"/>
          <w:sz w:val="24"/>
          <w:szCs w:val="24"/>
          <w:rtl w:val="0"/>
        </w:rPr>
        <w:t xml:space="preserve">five</w:t>
      </w: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condition between-subject design</w:t>
      </w:r>
      <w:r w:rsidDel="00000000" w:rsidR="00000000" w:rsidRPr="00000000">
        <w:rPr>
          <w:rFonts w:ascii="Times New Roman" w:cs="Times New Roman" w:eastAsia="Times New Roman" w:hAnsi="Times New Roman"/>
          <w:sz w:val="24"/>
          <w:szCs w:val="24"/>
          <w:rtl w:val="0"/>
        </w:rPr>
        <w:t xml:space="preserve"> with the aim of exploring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impact of subjects’ perceptions of the source (power) and information inequality (parity) on their willingness to contribute to public goods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experiment will be conducted via an online Qualtrics survey from Amazon Mechanical Turk (MTurk). These participants will be randomly assigned to one of 5 conditions:</w:t>
      </w:r>
    </w:p>
    <w:p w:rsidR="00000000" w:rsidDel="00000000" w:rsidP="00000000" w:rsidRDefault="00000000" w:rsidRPr="00000000" w14:paraId="0000003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 SystemicEqual</w:t>
      </w:r>
    </w:p>
    <w:p w:rsidR="00000000" w:rsidDel="00000000" w:rsidP="00000000" w:rsidRDefault="00000000" w:rsidRPr="00000000" w14:paraId="0000003E">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SystemicUnequal</w:t>
      </w:r>
    </w:p>
    <w:p w:rsidR="00000000" w:rsidDel="00000000" w:rsidP="00000000" w:rsidRDefault="00000000" w:rsidRPr="00000000" w14:paraId="0000003F">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 AgentEqual</w:t>
      </w:r>
    </w:p>
    <w:p w:rsidR="00000000" w:rsidDel="00000000" w:rsidP="00000000" w:rsidRDefault="00000000" w:rsidRPr="00000000" w14:paraId="00000040">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AgentUnequal</w:t>
      </w:r>
    </w:p>
    <w:p w:rsidR="00000000" w:rsidDel="00000000" w:rsidP="00000000" w:rsidRDefault="00000000" w:rsidRPr="00000000" w14:paraId="00000041">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Control</w:t>
      </w:r>
      <w:r w:rsidDel="00000000" w:rsidR="00000000" w:rsidRPr="00000000">
        <w:rPr>
          <w:rtl w:val="0"/>
        </w:rPr>
      </w:r>
    </w:p>
    <w:p w:rsidR="00000000" w:rsidDel="00000000" w:rsidP="00000000" w:rsidRDefault="00000000" w:rsidRPr="00000000" w14:paraId="00000042">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conditions will have the two of the following attributes (one from power, and one from parity):</w:t>
      </w:r>
    </w:p>
    <w:p w:rsidR="00000000" w:rsidDel="00000000" w:rsidP="00000000" w:rsidRDefault="00000000" w:rsidRPr="00000000" w14:paraId="00000044">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Parity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Equal</w:t>
      </w:r>
      <w:r w:rsidDel="00000000" w:rsidR="00000000" w:rsidRPr="00000000">
        <w:rPr>
          <w:rFonts w:ascii="Times New Roman" w:cs="Times New Roman" w:eastAsia="Times New Roman" w:hAnsi="Times New Roman"/>
          <w:sz w:val="24"/>
          <w:szCs w:val="24"/>
          <w:rtl w:val="0"/>
        </w:rPr>
        <w:t xml:space="preserve">: Every individual will be given the same amount of information. They will not know the multipliers before they make their contributions.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Unequal</w:t>
      </w:r>
      <w:r w:rsidDel="00000000" w:rsidR="00000000" w:rsidRPr="00000000">
        <w:rPr>
          <w:rFonts w:ascii="Times New Roman" w:cs="Times New Roman" w:eastAsia="Times New Roman" w:hAnsi="Times New Roman"/>
          <w:sz w:val="24"/>
          <w:szCs w:val="24"/>
          <w:rtl w:val="0"/>
        </w:rPr>
        <w:t xml:space="preserve">: Participants will be randomly assigned to ‘favored’ or ‘unfavored’ sub condition.</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Favored: will be shown the multipliers each round before making their contributions.</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Unfavored: will not be shown the multipliers until after they make their contributions.</w:t>
      </w:r>
    </w:p>
    <w:p w:rsidR="00000000" w:rsidDel="00000000" w:rsidP="00000000" w:rsidRDefault="00000000" w:rsidRPr="00000000" w14:paraId="0000004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ageBreakBefore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Power</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Systemic</w:t>
      </w:r>
      <w:r w:rsidDel="00000000" w:rsidR="00000000" w:rsidRPr="00000000">
        <w:rPr>
          <w:rFonts w:ascii="Times New Roman" w:cs="Times New Roman" w:eastAsia="Times New Roman" w:hAnsi="Times New Roman"/>
          <w:sz w:val="24"/>
          <w:szCs w:val="24"/>
          <w:rtl w:val="0"/>
        </w:rPr>
        <w:t xml:space="preserve">: Participants are told that the multipliers were determined randomly.</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Agent</w:t>
      </w:r>
      <w:r w:rsidDel="00000000" w:rsidR="00000000" w:rsidRPr="00000000">
        <w:rPr>
          <w:rFonts w:ascii="Times New Roman" w:cs="Times New Roman" w:eastAsia="Times New Roman" w:hAnsi="Times New Roman"/>
          <w:sz w:val="24"/>
          <w:szCs w:val="24"/>
          <w:rtl w:val="0"/>
        </w:rPr>
        <w:t xml:space="preserve">: Participants are told that the experimenters deliberately chose the multipliers.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our conditions will be Equal Systemic, Equal Agent, Unequal Systemic, and Unequal Agent.</w:t>
      </w:r>
    </w:p>
    <w:p w:rsidR="00000000" w:rsidDel="00000000" w:rsidP="00000000" w:rsidRDefault="00000000" w:rsidRPr="00000000" w14:paraId="00000052">
      <w:pPr>
        <w:pageBreakBefore w:val="0"/>
        <w:spacing w:line="276" w:lineRule="auto"/>
        <w:rPr>
          <w:rFonts w:ascii="Times New Roman" w:cs="Times New Roman" w:eastAsia="Times New Roman" w:hAnsi="Times New Roman"/>
          <w:sz w:val="24"/>
          <w:szCs w:val="24"/>
        </w:rPr>
      </w:pPr>
      <w:r w:rsidDel="00000000" w:rsidR="00000000" w:rsidRPr="00000000">
        <w:rPr>
          <w:rtl w:val="0"/>
        </w:rPr>
      </w:r>
    </w:p>
    <w:bookmarkStart w:colFirst="0" w:colLast="0" w:name="h1myp57hmdt1" w:id="3"/>
    <w:bookmarkEnd w:id="3"/>
    <w:p w:rsidR="00000000" w:rsidDel="00000000" w:rsidP="00000000" w:rsidRDefault="00000000" w:rsidRPr="00000000" w14:paraId="00000053">
      <w:pPr>
        <w:pageBreakBefore w:val="0"/>
        <w:spacing w:after="200" w:before="200" w:line="276"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sz w:val="24"/>
          <w:szCs w:val="24"/>
          <w:rtl w:val="0"/>
        </w:rPr>
        <w:t xml:space="preserve">Hypotheses</w:t>
      </w:r>
      <w:r w:rsidDel="00000000" w:rsidR="00000000" w:rsidRPr="00000000">
        <w:rPr>
          <w:rFonts w:ascii="Times New Roman" w:cs="Times New Roman" w:eastAsia="Times New Roman" w:hAnsi="Times New Roman"/>
          <w:b w:val="1"/>
          <w:color w:val="4a86e8"/>
          <w:sz w:val="24"/>
          <w:szCs w:val="24"/>
          <w:rtl w:val="0"/>
        </w:rPr>
        <w:t xml:space="preserve"> </w:t>
      </w:r>
      <w:r w:rsidDel="00000000" w:rsidR="00000000" w:rsidRPr="00000000">
        <w:rPr>
          <w:rtl w:val="0"/>
        </w:rPr>
      </w:r>
    </w:p>
    <w:p w:rsidR="00000000" w:rsidDel="00000000" w:rsidP="00000000" w:rsidRDefault="00000000" w:rsidRPr="00000000" w14:paraId="00000054">
      <w:pPr>
        <w:pageBreakBefore w:val="0"/>
        <w:spacing w:after="200" w:before="200" w:line="27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Contributions in the experimental groups will differ from the control</w:t>
      </w:r>
    </w:p>
    <w:p w:rsidR="00000000" w:rsidDel="00000000" w:rsidP="00000000" w:rsidRDefault="00000000" w:rsidRPr="00000000" w14:paraId="00000055">
      <w:pPr>
        <w:spacing w:after="2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Contribution rates for individuals in the Agent Equal condition will be significantly greater than those in control condition.</w:t>
      </w:r>
    </w:p>
    <w:p w:rsidR="00000000" w:rsidDel="00000000" w:rsidP="00000000" w:rsidRDefault="00000000" w:rsidRPr="00000000" w14:paraId="0000005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Contribution rates for individuals in Agent Unequal will be significantly less than in the control.</w:t>
      </w:r>
    </w:p>
    <w:p w:rsidR="00000000" w:rsidDel="00000000" w:rsidP="00000000" w:rsidRDefault="00000000" w:rsidRPr="00000000" w14:paraId="0000005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after="20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Contribution rates for individuals in Systemic Equal condition will be significantly greater than those in the control condition.   </w:t>
      </w:r>
    </w:p>
    <w:p w:rsidR="00000000" w:rsidDel="00000000" w:rsidP="00000000" w:rsidRDefault="00000000" w:rsidRPr="00000000" w14:paraId="0000005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Contribution rates for individuals in Systemic Unequal condition will be significantly less than those in the control condition.</w:t>
      </w:r>
    </w:p>
    <w:p w:rsidR="00000000" w:rsidDel="00000000" w:rsidP="00000000" w:rsidRDefault="00000000" w:rsidRPr="00000000" w14:paraId="0000005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in the Agent Conditions the Equal conditions will be greater than in the Unequal conditions</w:t>
      </w:r>
    </w:p>
    <w:p w:rsidR="00000000" w:rsidDel="00000000" w:rsidP="00000000" w:rsidRDefault="00000000" w:rsidRPr="00000000" w14:paraId="0000005C">
      <w:pPr>
        <w:pageBreakBefore w:val="0"/>
        <w:spacing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D">
      <w:pPr>
        <w:pageBreakBefore w:val="0"/>
        <w:spacing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Contribution rates for individuals in Equal conditions will be significantly greater than in Unequal conditions. </w:t>
      </w:r>
    </w:p>
    <w:p w:rsidR="00000000" w:rsidDel="00000000" w:rsidP="00000000" w:rsidRDefault="00000000" w:rsidRPr="00000000" w14:paraId="0000005E">
      <w:pPr>
        <w:pageBreakBefore w:val="0"/>
        <w:spacing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Contribution rates for individuals in the Systemic condition will be significantly greater than those in the Agent condition.</w:t>
      </w:r>
    </w:p>
    <w:p w:rsidR="00000000" w:rsidDel="00000000" w:rsidP="00000000" w:rsidRDefault="00000000" w:rsidRPr="00000000" w14:paraId="00000060">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Fairness will impact contributions across conditions.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Fairness scores will be positively correlated with contribution rates across conditions. </w:t>
      </w:r>
    </w:p>
    <w:p w:rsidR="00000000" w:rsidDel="00000000" w:rsidP="00000000" w:rsidRDefault="00000000" w:rsidRPr="00000000" w14:paraId="0000006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Participants in equal conditions will give higher fairness scores than those in unequal conditions.</w:t>
      </w:r>
    </w:p>
    <w:p w:rsidR="00000000" w:rsidDel="00000000" w:rsidP="00000000" w:rsidRDefault="00000000" w:rsidRPr="00000000" w14:paraId="00000066">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Systemic conditions will give higher fairness scores than in Agent conditions.</w:t>
      </w:r>
      <w:r w:rsidDel="00000000" w:rsidR="00000000" w:rsidRPr="00000000">
        <w:rPr>
          <w:rtl w:val="0"/>
        </w:rPr>
      </w:r>
    </w:p>
    <w:p w:rsidR="00000000" w:rsidDel="00000000" w:rsidP="00000000" w:rsidRDefault="00000000" w:rsidRPr="00000000" w14:paraId="0000006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line="276" w:lineRule="auto"/>
        <w:rPr>
          <w:rFonts w:ascii="Times New Roman" w:cs="Times New Roman" w:eastAsia="Times New Roman" w:hAnsi="Times New Roman"/>
          <w:i w:val="1"/>
          <w:color w:val="4a86e8"/>
          <w:sz w:val="24"/>
          <w:szCs w:val="24"/>
        </w:rPr>
      </w:pPr>
      <w:r w:rsidDel="00000000" w:rsidR="00000000" w:rsidRPr="00000000">
        <w:rPr>
          <w:rtl w:val="0"/>
        </w:rPr>
      </w:r>
    </w:p>
    <w:bookmarkStart w:colFirst="0" w:colLast="0" w:name="9aqq2mhl0vpl" w:id="4"/>
    <w:bookmarkEnd w:id="4"/>
    <w:p w:rsidR="00000000" w:rsidDel="00000000" w:rsidP="00000000" w:rsidRDefault="00000000" w:rsidRPr="00000000" w14:paraId="0000006B">
      <w:pPr>
        <w:pageBreakBefore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Outcome Variable(s) </w:t>
      </w:r>
      <w:r w:rsidDel="00000000" w:rsidR="00000000" w:rsidRPr="00000000">
        <w:rPr>
          <w:rtl w:val="0"/>
        </w:rPr>
      </w:r>
    </w:p>
    <w:p w:rsidR="00000000" w:rsidDel="00000000" w:rsidP="00000000" w:rsidRDefault="00000000" w:rsidRPr="00000000" w14:paraId="0000006C">
      <w:pPr>
        <w:pageBreakBefore w:val="0"/>
        <w:spacing w:line="276" w:lineRule="auto"/>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6D">
      <w:pPr>
        <w:pageBreakBefore w:val="0"/>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Mean contribution rate over all trials. Fairness Likert scores. </w:t>
      </w:r>
    </w:p>
    <w:p w:rsidR="00000000" w:rsidDel="00000000" w:rsidP="00000000" w:rsidRDefault="00000000" w:rsidRPr="00000000" w14:paraId="0000006E">
      <w:pPr>
        <w:pageBreakBefore w:val="0"/>
        <w:spacing w:line="276" w:lineRule="auto"/>
        <w:rPr>
          <w:rFonts w:ascii="Times New Roman" w:cs="Times New Roman" w:eastAsia="Times New Roman" w:hAnsi="Times New Roman"/>
          <w:b w:val="1"/>
          <w:color w:val="4a86e8"/>
          <w:sz w:val="24"/>
          <w:szCs w:val="24"/>
        </w:rPr>
      </w:pPr>
      <w:r w:rsidDel="00000000" w:rsidR="00000000" w:rsidRPr="00000000">
        <w:rPr>
          <w:rtl w:val="0"/>
        </w:rPr>
      </w:r>
    </w:p>
    <w:bookmarkStart w:colFirst="0" w:colLast="0" w:name="tibe1u1ex0dd" w:id="5"/>
    <w:bookmarkEnd w:id="5"/>
    <w:p w:rsidR="00000000" w:rsidDel="00000000" w:rsidP="00000000" w:rsidRDefault="00000000" w:rsidRPr="00000000" w14:paraId="0000006F">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Intervention(s)</w:t>
      </w:r>
    </w:p>
    <w:p w:rsidR="00000000" w:rsidDel="00000000" w:rsidP="00000000" w:rsidRDefault="00000000" w:rsidRPr="00000000" w14:paraId="00000070">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 will be conducted </w:t>
      </w:r>
      <w:r w:rsidDel="00000000" w:rsidR="00000000" w:rsidRPr="00000000">
        <w:rPr>
          <w:rFonts w:ascii="Times New Roman" w:cs="Times New Roman" w:eastAsia="Times New Roman" w:hAnsi="Times New Roman"/>
          <w:sz w:val="24"/>
          <w:szCs w:val="24"/>
          <w:rtl w:val="0"/>
        </w:rPr>
        <w:t xml:space="preserve">on MTurk. Participants will be randomly assigned into one of X conditions: C1, C2, C3, C4, C5. Participants will be randomized using Qualtrics’ randomizer function. Participants will not be aware of any conditions other than the one they are in. Full instructions and materials can be found in Appendix A.</w:t>
      </w:r>
    </w:p>
    <w:p w:rsidR="00000000" w:rsidDel="00000000" w:rsidP="00000000" w:rsidRDefault="00000000" w:rsidRPr="00000000" w14:paraId="00000071">
      <w:pPr>
        <w:pageBreakBefore w:val="0"/>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Summary of instructions</w:t>
      </w:r>
      <w:r w:rsidDel="00000000" w:rsidR="00000000" w:rsidRPr="00000000">
        <w:rPr>
          <w:rtl w:val="0"/>
        </w:rPr>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 statement</w:t>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CAPTCHA Bot Check</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the experiment:</w:t>
      </w:r>
    </w:p>
    <w:p w:rsidR="00000000" w:rsidDel="00000000" w:rsidP="00000000" w:rsidRDefault="00000000" w:rsidRPr="00000000" w14:paraId="0000007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of game explained</w:t>
      </w:r>
      <w:r w:rsidDel="00000000" w:rsidR="00000000" w:rsidRPr="00000000">
        <w:rPr>
          <w:rtl w:val="0"/>
        </w:rPr>
      </w:r>
    </w:p>
    <w:p w:rsidR="00000000" w:rsidDel="00000000" w:rsidP="00000000" w:rsidRDefault="00000000" w:rsidRPr="00000000" w14:paraId="0000007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Incentivization / payout explained</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Comprehension Check</w:t>
      </w:r>
      <w:r w:rsidDel="00000000" w:rsidR="00000000" w:rsidRPr="00000000">
        <w:rPr>
          <w:rtl w:val="0"/>
        </w:rPr>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into 1 of 5 conditions</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statement (by condition, sans control)</w:t>
      </w:r>
      <w:r w:rsidDel="00000000" w:rsidR="00000000" w:rsidRPr="00000000">
        <w:rPr>
          <w:rtl w:val="0"/>
        </w:rPr>
      </w:r>
    </w:p>
    <w:p w:rsidR="00000000" w:rsidDel="00000000" w:rsidP="00000000" w:rsidRDefault="00000000" w:rsidRPr="00000000" w14:paraId="0000007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w:t>
      </w:r>
    </w:p>
    <w:p w:rsidR="00000000" w:rsidDel="00000000" w:rsidP="00000000" w:rsidRDefault="00000000" w:rsidRPr="00000000" w14:paraId="0000007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Systemic </w:t>
      </w:r>
    </w:p>
    <w:p w:rsidR="00000000" w:rsidDel="00000000" w:rsidP="00000000" w:rsidRDefault="00000000" w:rsidRPr="00000000" w14:paraId="0000007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Unequal</w:t>
      </w:r>
    </w:p>
    <w:p w:rsidR="00000000" w:rsidDel="00000000" w:rsidP="00000000" w:rsidRDefault="00000000" w:rsidRPr="00000000" w14:paraId="0000007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w:t>
      </w:r>
    </w:p>
    <w:p w:rsidR="00000000" w:rsidDel="00000000" w:rsidP="00000000" w:rsidRDefault="00000000" w:rsidRPr="00000000" w14:paraId="0000007F">
      <w:pPr>
        <w:pageBreakBefore w:val="0"/>
        <w:widowControl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Placed into Smartrics game play</w:t>
      </w:r>
    </w:p>
    <w:p w:rsidR="00000000" w:rsidDel="00000000" w:rsidP="00000000" w:rsidRDefault="00000000" w:rsidRPr="00000000" w14:paraId="00000080">
      <w:pPr>
        <w:pageBreakBefore w:val="0"/>
        <w:widowControl w:val="0"/>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8 rounds </w:t>
      </w:r>
    </w:p>
    <w:p w:rsidR="00000000" w:rsidDel="00000000" w:rsidP="00000000" w:rsidRDefault="00000000" w:rsidRPr="00000000" w14:paraId="00000081">
      <w:pPr>
        <w:pageBreakBefore w:val="0"/>
        <w:widowControl w:val="0"/>
        <w:numPr>
          <w:ilvl w:val="1"/>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with the same partner each round</w:t>
      </w:r>
    </w:p>
    <w:p w:rsidR="00000000" w:rsidDel="00000000" w:rsidP="00000000" w:rsidRDefault="00000000" w:rsidRPr="00000000" w14:paraId="00000082">
      <w:pPr>
        <w:pageBreakBefore w:val="0"/>
        <w:widowControl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Fairness Elicitation</w:t>
      </w:r>
    </w:p>
    <w:p w:rsidR="00000000" w:rsidDel="00000000" w:rsidP="00000000" w:rsidRDefault="00000000" w:rsidRPr="00000000" w14:paraId="00000083">
      <w:pPr>
        <w:pageBreakBefore w:val="0"/>
        <w:widowControl w:val="0"/>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Subjects respond to a series of questions centered around how fair they perceived the game to be, using Likert scales.</w:t>
      </w:r>
    </w:p>
    <w:p w:rsidR="00000000" w:rsidDel="00000000" w:rsidP="00000000" w:rsidRDefault="00000000" w:rsidRPr="00000000" w14:paraId="00000084">
      <w:pPr>
        <w:pageBreakBefore w:val="0"/>
        <w:widowControl w:val="0"/>
        <w:numPr>
          <w:ilvl w:val="2"/>
          <w:numId w:val="3"/>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Fairness questions.</w:t>
      </w:r>
    </w:p>
    <w:p w:rsidR="00000000" w:rsidDel="00000000" w:rsidP="00000000" w:rsidRDefault="00000000" w:rsidRPr="00000000" w14:paraId="00000085">
      <w:pPr>
        <w:pageBreakBefore w:val="0"/>
        <w:widowControl w:val="0"/>
        <w:numPr>
          <w:ilvl w:val="2"/>
          <w:numId w:val="3"/>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questions.</w:t>
      </w:r>
    </w:p>
    <w:p w:rsidR="00000000" w:rsidDel="00000000" w:rsidP="00000000" w:rsidRDefault="00000000" w:rsidRPr="00000000" w14:paraId="00000086">
      <w:pPr>
        <w:pageBreakBefore w:val="0"/>
        <w:widowControl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information</w:t>
      </w:r>
    </w:p>
    <w:p w:rsidR="00000000" w:rsidDel="00000000" w:rsidP="00000000" w:rsidRDefault="00000000" w:rsidRPr="00000000" w14:paraId="00000087">
      <w:pPr>
        <w:pageBreakBefore w:val="0"/>
        <w:widowControl w:val="0"/>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88">
      <w:pPr>
        <w:pageBreakBefore w:val="0"/>
        <w:widowControl w:val="0"/>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89">
      <w:pPr>
        <w:pageBreakBefore w:val="0"/>
        <w:widowControl w:val="0"/>
        <w:numPr>
          <w:ilvl w:val="1"/>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Race</w:t>
      </w:r>
    </w:p>
    <w:p w:rsidR="00000000" w:rsidDel="00000000" w:rsidP="00000000" w:rsidRDefault="00000000" w:rsidRPr="00000000" w14:paraId="0000008A">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pageBreakBefore w:val="0"/>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Overview of Experimental Design</w:t>
      </w:r>
    </w:p>
    <w:p w:rsidR="00000000" w:rsidDel="00000000" w:rsidP="00000000" w:rsidRDefault="00000000" w:rsidRPr="00000000" w14:paraId="0000008E">
      <w:pPr>
        <w:pageBreakBefore w:val="0"/>
        <w:spacing w:line="276" w:lineRule="auto"/>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8F">
      <w:pPr>
        <w:pageBreakBefore w:val="0"/>
        <w:spacing w:line="276" w:lineRule="auto"/>
        <w:rPr>
          <w:rFonts w:ascii="Times New Roman" w:cs="Times New Roman" w:eastAsia="Times New Roman" w:hAnsi="Times New Roman"/>
          <w:i w:val="1"/>
          <w:color w:val="ed7d31"/>
          <w:sz w:val="24"/>
          <w:szCs w:val="24"/>
        </w:rPr>
      </w:pPr>
      <w:r w:rsidDel="00000000" w:rsidR="00000000" w:rsidRPr="00000000">
        <w:rPr>
          <w:rtl w:val="0"/>
        </w:rPr>
      </w:r>
    </w:p>
    <w:bookmarkStart w:colFirst="0" w:colLast="0" w:name="vti9hknl2b1y" w:id="6"/>
    <w:bookmarkEnd w:id="6"/>
    <w:p w:rsidR="00000000" w:rsidDel="00000000" w:rsidP="00000000" w:rsidRDefault="00000000" w:rsidRPr="00000000" w14:paraId="00000090">
      <w:pPr>
        <w:pageBreakBefore w:val="0"/>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Theory of Change</w:t>
      </w:r>
      <w:r w:rsidDel="00000000" w:rsidR="00000000" w:rsidRPr="00000000">
        <w:rPr>
          <w:rtl w:val="0"/>
        </w:rPr>
      </w:r>
    </w:p>
    <w:p w:rsidR="00000000" w:rsidDel="00000000" w:rsidP="00000000" w:rsidRDefault="00000000" w:rsidRPr="00000000" w14:paraId="00000091">
      <w:pPr>
        <w:pageBreakBefore w:val="0"/>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Uncertainty about the decisions of others is implicit in PGGs. </w:t>
      </w:r>
      <w:r w:rsidDel="00000000" w:rsidR="00000000" w:rsidRPr="00000000">
        <w:rPr>
          <w:rFonts w:ascii="Times New Roman" w:cs="Times New Roman" w:eastAsia="Times New Roman" w:hAnsi="Times New Roman"/>
          <w:color w:val="222222"/>
          <w:sz w:val="24"/>
          <w:szCs w:val="24"/>
          <w:rtl w:val="0"/>
        </w:rPr>
        <w:t xml:space="preserve">The literature suggests that the less a subject knows about who the other players are, the less they contribute to a public good.</w:t>
      </w:r>
      <w:r w:rsidDel="00000000" w:rsidR="00000000" w:rsidRPr="00000000">
        <w:rPr>
          <w:rFonts w:ascii="Times New Roman" w:cs="Times New Roman" w:eastAsia="Times New Roman" w:hAnsi="Times New Roman"/>
          <w:color w:val="222222"/>
          <w:sz w:val="24"/>
          <w:szCs w:val="24"/>
          <w:rtl w:val="0"/>
        </w:rPr>
        <w:t xml:space="preserve"> Routinely, subjects in “stranger games” show lower contribution rates, presumably due to the absence of long term signaling incentives.</w:t>
      </w:r>
    </w:p>
    <w:p w:rsidR="00000000" w:rsidDel="00000000" w:rsidP="00000000" w:rsidRDefault="00000000" w:rsidRPr="00000000" w14:paraId="00000092">
      <w:pPr>
        <w:pageBreakBefore w:val="0"/>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3">
      <w:pPr>
        <w:pageBreakBefore w:val="0"/>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However, uncertainty in public goods decisions extends beyond individuals’ ability to predict each other’s behavior. Investments in common pool resources such as water infrastructure or climate management do not have a fixed return. Resource uncertainty – ambiguity around the marginal return on individual investments into a common pool – is an important, but understudied, part of the public goods literature.</w:t>
      </w:r>
    </w:p>
    <w:p w:rsidR="00000000" w:rsidDel="00000000" w:rsidP="00000000" w:rsidRDefault="00000000" w:rsidRPr="00000000" w14:paraId="00000094">
      <w:pPr>
        <w:pageBreakBefore w:val="0"/>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5">
      <w:pPr>
        <w:pageBreakBefore w:val="0"/>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existing literature is less clear on the impact of resource uncertainty on public goods investment. Experiments on threshold PGGs found that uncertainty around the threshold at which a resource “pays out” leads to lower contributions from subjects. Adding to the belief that resource uncertainty reduces prosocial behavior, Dannenberg et al. showed that when individuals are less certain about the outcome of their donations, they tend to donate less. However, Resource Uncertainty does not always appear to have an antisocial impact. List shows that under certain circumstances, Knightian uncertainty could actually increase pro social behavior in a public good allocation game. This, List explains, is because institutional uncertainty extends into the debate of fairness. Typically in repeated PGGs, players ‘punish’ freeriders for their selfish behavior by lowering their contributions in later rounds. In the presence of institutional uncertainty the information is obscured; players are unable to distinguish between a low outcome due to opposing freeriders, and a low outcome due to a small MPCR. Therefore, many participants punished others less by contributing more.</w:t>
      </w:r>
    </w:p>
    <w:p w:rsidR="00000000" w:rsidDel="00000000" w:rsidP="00000000" w:rsidRDefault="00000000" w:rsidRPr="00000000" w14:paraId="00000096">
      <w:pPr>
        <w:pageBreakBefore w:val="0"/>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7">
      <w:pPr>
        <w:pageBreakBefore w:val="0"/>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Common pool resources might exist in nature, but in a social context they are typically managed. Building off of List’s work, we hypothesize that perceptions of fairness will confound existing findings about the impact of resource uncertainty on willingness to contribute to a public good due to strategic uncertainty. We are interested in examining the role of uncertainty in a new context by applying it to game rules. We believe that by controlling for perceptions of power (Agent and Systemic conditions) and parity (Equal and Unequal conditions) we will be able to show the negative interaction effect between social expectations and Knightian uncertainty. </w:t>
      </w:r>
    </w:p>
    <w:p w:rsidR="00000000" w:rsidDel="00000000" w:rsidP="00000000" w:rsidRDefault="00000000" w:rsidRPr="00000000" w14:paraId="00000098">
      <w:pPr>
        <w:jc w:val="righ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Variations from the intended sample.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Attrition is sometimes unavoidable, but with appropriate considerations its impact can be mitigated. </w:t>
      </w:r>
      <w:r w:rsidDel="00000000" w:rsidR="00000000" w:rsidRPr="00000000">
        <w:rPr>
          <w:rFonts w:ascii="Times New Roman" w:cs="Times New Roman" w:eastAsia="Times New Roman" w:hAnsi="Times New Roman"/>
          <w:sz w:val="24"/>
          <w:szCs w:val="24"/>
          <w:rtl w:val="0"/>
        </w:rPr>
        <w:t xml:space="preserve">A standard rule of thumb is that less than 5% attrition introduces negligible bias, whereas more than 20% attrition poses major threats to experimental validity (Schulz &amp; Grimes, 2002). Based on pretest results we expect an attrition rate of  15% in the final experiment. For this reason, we aim to keep attrition rates as low as possible and propose several solutions for doing so.</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failure to complete the task or other forms of non-compliance with the condition will result in a participant’s exclusion from analyses. </w:t>
      </w:r>
      <w:r w:rsidDel="00000000" w:rsidR="00000000" w:rsidRPr="00000000">
        <w:rPr>
          <w:rFonts w:ascii="Times New Roman" w:cs="Times New Roman" w:eastAsia="Times New Roman" w:hAnsi="Times New Roman"/>
          <w:sz w:val="24"/>
          <w:szCs w:val="24"/>
          <w:rtl w:val="0"/>
        </w:rPr>
        <w:t xml:space="preserve">Our study is designed so that participants will not be eligible for the Amazon gift card lottery unless they have completed the study in its entirety.  </w:t>
      </w:r>
      <w:r w:rsidDel="00000000" w:rsidR="00000000" w:rsidRPr="00000000">
        <w:rPr>
          <w:rFonts w:ascii="Times New Roman" w:cs="Times New Roman" w:eastAsia="Times New Roman" w:hAnsi="Times New Roman"/>
          <w:sz w:val="24"/>
          <w:szCs w:val="24"/>
          <w:rtl w:val="0"/>
        </w:rPr>
        <w:t xml:space="preserve">This endogenous incentive is coupled with the exogenous incentive of participants’ MTurk profiles being scored lower upon failure to complete a Human Intelligence Task (HIT). Finally, the inherent brevity and simplicity of our task, along with its fair pay will likely not induce attrition or discourage participation in any way.</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 AND PROCESSING</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 with previous research informing this study, formal data collection will be conducted using MTurk, and, thus, the majority of respondents are expected to be U.S. residents. The composition of MTurk participants is also likely to be more diverse and more representative of the U.S. population, with only minor deviations, than sample pools of studies run exclusively on college campuses (Crump et. al., 2013).</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Data</w:t>
      </w:r>
    </w:p>
    <w:p w:rsidR="00000000" w:rsidDel="00000000" w:rsidP="00000000" w:rsidRDefault="00000000" w:rsidRPr="00000000" w14:paraId="000000A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We plan to collect the following types of data:</w:t>
        <w:br w:type="textWrapping"/>
      </w:r>
      <w:r w:rsidDel="00000000" w:rsidR="00000000" w:rsidRPr="00000000">
        <w:rPr>
          <w:rtl w:val="0"/>
        </w:rPr>
      </w:r>
    </w:p>
    <w:tbl>
      <w:tblPr>
        <w:tblStyle w:val="Table1"/>
        <w:tblW w:w="9765.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2460"/>
        <w:gridCol w:w="4290"/>
        <w:gridCol w:w="3015"/>
        <w:tblGridChange w:id="0">
          <w:tblGrid>
            <w:gridCol w:w="2460"/>
            <w:gridCol w:w="4290"/>
            <w:gridCol w:w="301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efefef" w:val="clear"/>
          </w:tcPr>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tcBorders>
              <w:top w:color="666666" w:space="0" w:sz="8" w:val="single"/>
              <w:left w:color="666666" w:space="0" w:sz="8" w:val="single"/>
              <w:bottom w:color="666666" w:space="0" w:sz="8" w:val="single"/>
              <w:right w:color="666666" w:space="0" w:sz="8" w:val="single"/>
            </w:tcBorders>
            <w:shd w:fill="efefef" w:val="clear"/>
          </w:tcPr>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Prompt</w:t>
            </w:r>
          </w:p>
        </w:tc>
        <w:tc>
          <w:tcPr>
            <w:tcBorders>
              <w:top w:color="666666" w:space="0" w:sz="8" w:val="single"/>
              <w:left w:color="666666" w:space="0" w:sz="8" w:val="single"/>
              <w:bottom w:color="666666" w:space="0" w:sz="8" w:val="single"/>
              <w:right w:color="666666" w:space="0" w:sz="8" w:val="single"/>
            </w:tcBorders>
            <w:shd w:fill="efefef" w:val="clear"/>
          </w:tcPr>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  (Variable)</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A7">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the arrow at the bottom of this page you are giving your consent to participate. You are also verifying that you are at least 18 years of age.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arrow.”</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“Exited page.” (categorical)</w:t>
            </w:r>
          </w:p>
        </w:tc>
      </w:tr>
      <w:tr>
        <w:trPr>
          <w:cantSplit w:val="0"/>
          <w:trHeight w:val="512.373046875" w:hRule="atLeast"/>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 Check</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CAPTCHA check.</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check (categorical)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Comprehension Check #1</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2363a"/>
                <w:sz w:val="24"/>
                <w:szCs w:val="24"/>
                <w:rtl w:val="0"/>
              </w:rPr>
              <w:t xml:space="preserve">What happens to the sum of tokens contributed to the public account?”</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multiplied by the multiplier, and then divided based on who contributed most.” “It is multiplied by the multiplier, and then divided evenly to all participants.” “It is expropriated by the experimenters.” “20 more tokens are added to it, and then it is divided evenly to all participants.” (categorical)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Comprehension Check #2</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63a"/>
                <w:sz w:val="27"/>
                <w:szCs w:val="27"/>
                <w:rtl w:val="0"/>
              </w:rPr>
              <w:t xml:space="preserve">“How are the multipliers determined?”</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“Deliberately chosen by the experimenters” “Randomly selected by a computer” “Not chosen” (categorical) (correct answer depends on condition)</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(repeated for each round)</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indicate in the box below how many tokens to transfer to the public account.”</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by subject (ordinal between 1 -20)</w:t>
            </w:r>
          </w:p>
        </w:tc>
      </w:tr>
      <w:tr>
        <w:trPr>
          <w:cantSplit w:val="0"/>
          <w:trHeight w:val="753.955078125" w:hRule="atLeast"/>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Fairness #1</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feel that the rules of the game were fair?”</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 to 5 Likert scale</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Fairness #2</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perception of fairness affected my contribution decision.”</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 to 5 Likert scale</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Fairness #3</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multiplier was determined (intentionally vs. randomly decided) was important for how fair I perceived the game to be.”</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1">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 to 5 Likert scale</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Check #2</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select the largest even number listed below.”</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 to 5 scale</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#1</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uncertain did you feel about the value of the multipliers?”</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5 Likert scale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#2</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uncertain did you feel about what your partner would contribute?”</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D">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5 Likert scale (ordinal)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#3</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was the multiplier in your contribution decisions?”</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0">
            <w:pPr>
              <w:widowControl w:val="0"/>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5 Likert scale (ordinal)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#4</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was your partner's behavior in your contribution decisions?”</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3">
            <w:pPr>
              <w:widowControl w:val="0"/>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5 Likert scale (ordinal)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Self-reported demographics, age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old are you?”</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in years </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Self-reported demographics, gender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indicate your gender.”</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“Other/would rather not disclose”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Self-reported demographics, ethnicity</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race/ethnicity?”</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“Asian/Pacific Islander” “White” “Black/African American” “Native American” “Hispanic/Latino” “Not Listed” (categorical)</w:t>
            </w:r>
          </w:p>
        </w:tc>
      </w:tr>
      <w:tr>
        <w:trPr>
          <w:cantSplit w:val="0"/>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comments that you would like to leave, you may do so below.”</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E4">
            <w:pP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Text entry.</w:t>
            </w:r>
            <w:r w:rsidDel="00000000" w:rsidR="00000000" w:rsidRPr="00000000">
              <w:rPr>
                <w:rtl w:val="0"/>
              </w:rPr>
            </w:r>
          </w:p>
        </w:tc>
      </w:tr>
    </w:tbl>
    <w:p w:rsidR="00000000" w:rsidDel="00000000" w:rsidP="00000000" w:rsidRDefault="00000000" w:rsidRPr="00000000" w14:paraId="000000E5">
      <w:pPr>
        <w:spacing w:after="0" w:lineRule="auto"/>
        <w:ind w:right="-1194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E6">
      <w:pPr>
        <w:pageBreakBefore w:val="0"/>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7">
      <w:pPr>
        <w:pageBreakBefore w:val="0"/>
        <w:spacing w:line="276" w:lineRule="auto"/>
        <w:rPr>
          <w:rFonts w:ascii="Times New Roman" w:cs="Times New Roman" w:eastAsia="Times New Roman" w:hAnsi="Times New Roman"/>
          <w:b w:val="1"/>
          <w:sz w:val="24"/>
          <w:szCs w:val="24"/>
          <w:highlight w:val="yellow"/>
        </w:rPr>
      </w:pPr>
      <w:r w:rsidDel="00000000" w:rsidR="00000000" w:rsidRPr="00000000">
        <w:rPr>
          <w:rtl w:val="0"/>
        </w:rPr>
      </w:r>
    </w:p>
    <w:bookmarkStart w:colFirst="0" w:colLast="0" w:name="wad953h5wcwg" w:id="7"/>
    <w:bookmarkEnd w:id="7"/>
    <w:p w:rsidR="00000000" w:rsidDel="00000000" w:rsidP="00000000" w:rsidRDefault="00000000" w:rsidRPr="00000000" w14:paraId="000000E8">
      <w:pPr>
        <w:pageBreakBefore w:val="0"/>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Sample</w:t>
      </w:r>
      <w:r w:rsidDel="00000000" w:rsidR="00000000" w:rsidRPr="00000000">
        <w:rPr>
          <w:rtl w:val="0"/>
        </w:rPr>
      </w:r>
    </w:p>
    <w:p w:rsidR="00000000" w:rsidDel="00000000" w:rsidP="00000000" w:rsidRDefault="00000000" w:rsidRPr="00000000" w14:paraId="000000E9">
      <w:pPr>
        <w:pageBreakBefore w:val="0"/>
        <w:spacing w:line="276"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our experiment, the participants and subsequent data will be recruited and obtained exclusively through MTurk. We determined that</w:t>
      </w:r>
      <w:r w:rsidDel="00000000" w:rsidR="00000000" w:rsidRPr="00000000">
        <w:rPr>
          <w:rFonts w:ascii="Times New Roman" w:cs="Times New Roman" w:eastAsia="Times New Roman" w:hAnsi="Times New Roman"/>
          <w:sz w:val="24"/>
          <w:szCs w:val="24"/>
          <w:highlight w:val="white"/>
          <w:rtl w:val="0"/>
        </w:rPr>
        <w:t xml:space="preserve"> at a significance level of α = .05 and effect size of d = 0.215 (the average of effect sizes from Butera et al. (2020) [.42] and our pretest [.09], we ran an </w:t>
      </w:r>
      <w:r w:rsidDel="00000000" w:rsidR="00000000" w:rsidRPr="00000000">
        <w:rPr>
          <w:rFonts w:ascii="Times New Roman" w:cs="Times New Roman" w:eastAsia="Times New Roman" w:hAnsi="Times New Roman"/>
          <w:i w:val="1"/>
          <w:sz w:val="24"/>
          <w:szCs w:val="24"/>
          <w:highlight w:val="white"/>
          <w:rtl w:val="0"/>
        </w:rPr>
        <w:t xml:space="preserve">a priori </w:t>
      </w:r>
      <w:r w:rsidDel="00000000" w:rsidR="00000000" w:rsidRPr="00000000">
        <w:rPr>
          <w:rFonts w:ascii="Times New Roman" w:cs="Times New Roman" w:eastAsia="Times New Roman" w:hAnsi="Times New Roman"/>
          <w:sz w:val="24"/>
          <w:szCs w:val="24"/>
          <w:highlight w:val="white"/>
          <w:rtl w:val="0"/>
        </w:rPr>
        <w:t xml:space="preserve">sample size calculation indicating that 2142 subjects (428 per condition) would be required to detect effects with 80% power.</w:t>
      </w:r>
      <w:r w:rsidDel="00000000" w:rsidR="00000000" w:rsidRPr="00000000">
        <w:rPr>
          <w:rFonts w:ascii="Times New Roman" w:cs="Times New Roman" w:eastAsia="Times New Roman" w:hAnsi="Times New Roman"/>
          <w:sz w:val="24"/>
          <w:szCs w:val="24"/>
          <w:highlight w:val="white"/>
          <w:rtl w:val="0"/>
        </w:rPr>
        <w:t xml:space="preserve"> However, we will be limited to a budget of $1,000 for this experiment. $100 was used to conduct the pretest and $200 will be used to pay for Amazon Gift Cards, leaving with us with $700 for show up fees. Given the 40% Mturk fee, we will be able to collect 1,000 observations total, leaving us underpowered given our analysis. </w:t>
      </w:r>
      <w:r w:rsidDel="00000000" w:rsidR="00000000" w:rsidRPr="00000000">
        <w:rPr>
          <w:rtl w:val="0"/>
        </w:rPr>
      </w:r>
    </w:p>
    <w:p w:rsidR="00000000" w:rsidDel="00000000" w:rsidP="00000000" w:rsidRDefault="00000000" w:rsidRPr="00000000" w14:paraId="000000EA">
      <w:pPr>
        <w:pageBreakBefore w:val="0"/>
        <w:widowControl w:val="0"/>
        <w:spacing w:after="0" w:line="276" w:lineRule="auto"/>
        <w:ind w:right="-11940"/>
        <w:rPr>
          <w:rFonts w:ascii="Times New Roman" w:cs="Times New Roman" w:eastAsia="Times New Roman" w:hAnsi="Times New Roman"/>
          <w:b w:val="1"/>
          <w:sz w:val="24"/>
          <w:szCs w:val="24"/>
        </w:rPr>
      </w:pPr>
      <w:r w:rsidDel="00000000" w:rsidR="00000000" w:rsidRPr="00000000">
        <w:rPr>
          <w:rtl w:val="0"/>
        </w:rPr>
      </w:r>
    </w:p>
    <w:bookmarkStart w:colFirst="0" w:colLast="0" w:name="k54nbiijd3ap" w:id="8"/>
    <w:bookmarkEnd w:id="8"/>
    <w:p w:rsidR="00000000" w:rsidDel="00000000" w:rsidP="00000000" w:rsidRDefault="00000000" w:rsidRPr="00000000" w14:paraId="000000EB">
      <w:pPr>
        <w:pageBreakBefore w:val="0"/>
        <w:widowControl w:val="0"/>
        <w:spacing w:after="0" w:line="276" w:lineRule="auto"/>
        <w:ind w:left="0" w:right="-119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Collection Method, Data Sources, and Timeline</w:t>
      </w:r>
      <w:r w:rsidDel="00000000" w:rsidR="00000000" w:rsidRPr="00000000">
        <w:rPr>
          <w:rtl w:val="0"/>
        </w:rPr>
      </w:r>
    </w:p>
    <w:p w:rsidR="00000000" w:rsidDel="00000000" w:rsidP="00000000" w:rsidRDefault="00000000" w:rsidRPr="00000000" w14:paraId="000000EC">
      <w:pPr>
        <w:pageBreakBefore w:val="0"/>
        <w:widowControl w:val="0"/>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 for this study will be collected using MTurk. Pretest data will be collected on 04/07/2022 using $100 of the allocated research funds to find any errors in survey design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Formal data</w:t>
      </w:r>
      <w:r w:rsidDel="00000000" w:rsidR="00000000" w:rsidRPr="00000000">
        <w:rPr>
          <w:rFonts w:ascii="Times New Roman" w:cs="Times New Roman" w:eastAsia="Times New Roman" w:hAnsi="Times New Roman"/>
          <w:sz w:val="24"/>
          <w:szCs w:val="24"/>
          <w:rtl w:val="0"/>
        </w:rPr>
        <w:t xml:space="preserve"> collection will occur on 04/13/2022. </w:t>
      </w:r>
      <w:r w:rsidDel="00000000" w:rsidR="00000000" w:rsidRPr="00000000">
        <w:rPr>
          <w:rtl w:val="0"/>
        </w:rPr>
      </w:r>
    </w:p>
    <w:p w:rsidR="00000000" w:rsidDel="00000000" w:rsidP="00000000" w:rsidRDefault="00000000" w:rsidRPr="00000000" w14:paraId="000000ED">
      <w:pPr>
        <w:pageBreakBefore w:val="0"/>
        <w:widowControl w:val="0"/>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bookmarkStart w:colFirst="0" w:colLast="0" w:name="7j5bzvhj9rp0" w:id="9"/>
    <w:bookmarkEnd w:id="9"/>
    <w:p w:rsidR="00000000" w:rsidDel="00000000" w:rsidP="00000000" w:rsidRDefault="00000000" w:rsidRPr="00000000" w14:paraId="000000EE">
      <w:pPr>
        <w:pageBreakBefore w:val="0"/>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Termination considerations and stopping rule</w:t>
      </w:r>
    </w:p>
    <w:p w:rsidR="00000000" w:rsidDel="00000000" w:rsidP="00000000" w:rsidRDefault="00000000" w:rsidRPr="00000000" w14:paraId="000000EF">
      <w:pPr>
        <w:pageBreakBefore w:val="0"/>
        <w:widowControl w:val="0"/>
        <w:spacing w:line="276" w:lineRule="auto"/>
        <w:ind w:left="0" w:firstLine="0"/>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sz w:val="24"/>
          <w:szCs w:val="24"/>
          <w:rtl w:val="0"/>
        </w:rPr>
        <w:t xml:space="preserve">Data collection will be terminated upon spending $500 of the researchers funds to pay show up fees for Mturkers. Observations will be </w:t>
      </w:r>
      <w:r w:rsidDel="00000000" w:rsidR="00000000" w:rsidRPr="00000000">
        <w:rPr>
          <w:rFonts w:ascii="Times New Roman" w:cs="Times New Roman" w:eastAsia="Times New Roman" w:hAnsi="Times New Roman"/>
          <w:sz w:val="24"/>
          <w:szCs w:val="24"/>
          <w:rtl w:val="0"/>
        </w:rPr>
        <w:t xml:space="preserve">excluded </w:t>
      </w:r>
      <w:r w:rsidDel="00000000" w:rsidR="00000000" w:rsidRPr="00000000">
        <w:rPr>
          <w:rFonts w:ascii="Times New Roman" w:cs="Times New Roman" w:eastAsia="Times New Roman" w:hAnsi="Times New Roman"/>
          <w:sz w:val="24"/>
          <w:szCs w:val="24"/>
          <w:rtl w:val="0"/>
        </w:rPr>
        <w:t xml:space="preserve">from analysis on the basis of any of the following conditions:</w:t>
      </w:r>
      <w:r w:rsidDel="00000000" w:rsidR="00000000" w:rsidRPr="00000000">
        <w:rPr>
          <w:rtl w:val="0"/>
        </w:rPr>
      </w:r>
    </w:p>
    <w:p w:rsidR="00000000" w:rsidDel="00000000" w:rsidP="00000000" w:rsidRDefault="00000000" w:rsidRPr="00000000" w14:paraId="000000F0">
      <w:pPr>
        <w:pageBreakBefore w:val="0"/>
        <w:widowControl w:val="0"/>
        <w:numPr>
          <w:ilvl w:val="0"/>
          <w:numId w:val="1"/>
        </w:numPr>
        <w:spacing w:line="276"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durations longer than </w:t>
      </w: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minutes</w:t>
      </w:r>
      <w:r w:rsidDel="00000000" w:rsidR="00000000" w:rsidRPr="00000000">
        <w:rPr>
          <w:rtl w:val="0"/>
        </w:rPr>
      </w:r>
    </w:p>
    <w:p w:rsidR="00000000" w:rsidDel="00000000" w:rsidP="00000000" w:rsidRDefault="00000000" w:rsidRPr="00000000" w14:paraId="000000F1">
      <w:pPr>
        <w:pageBreakBefore w:val="0"/>
        <w:widowControl w:val="0"/>
        <w:numPr>
          <w:ilvl w:val="0"/>
          <w:numId w:val="1"/>
        </w:numPr>
        <w:spacing w:line="276"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to complete all elements of the experiment</w:t>
      </w:r>
    </w:p>
    <w:p w:rsidR="00000000" w:rsidDel="00000000" w:rsidP="00000000" w:rsidRDefault="00000000" w:rsidRPr="00000000" w14:paraId="000000F2">
      <w:pPr>
        <w:pageBreakBefore w:val="0"/>
        <w:widowControl w:val="0"/>
        <w:numPr>
          <w:ilvl w:val="0"/>
          <w:numId w:val="1"/>
        </w:numPr>
        <w:spacing w:line="276" w:lineRule="auto"/>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Failing the bot check</w:t>
      </w:r>
    </w:p>
    <w:p w:rsidR="00000000" w:rsidDel="00000000" w:rsidP="00000000" w:rsidRDefault="00000000" w:rsidRPr="00000000" w14:paraId="000000F3">
      <w:pPr>
        <w:pageBreakBefore w:val="0"/>
        <w:widowControl w:val="0"/>
        <w:numPr>
          <w:ilvl w:val="0"/>
          <w:numId w:val="1"/>
        </w:numPr>
        <w:spacing w:line="276" w:lineRule="auto"/>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Failing the attention check</w:t>
      </w:r>
    </w:p>
    <w:p w:rsidR="00000000" w:rsidDel="00000000" w:rsidP="00000000" w:rsidRDefault="00000000" w:rsidRPr="00000000" w14:paraId="000000F4">
      <w:pPr>
        <w:pageBreakBefore w:val="0"/>
        <w:widowControl w:val="0"/>
        <w:numPr>
          <w:ilvl w:val="0"/>
          <w:numId w:val="1"/>
        </w:numPr>
        <w:spacing w:line="276" w:lineRule="auto"/>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matched with a bot in the lobby of the of the PGG rather than another player</w:t>
      </w:r>
    </w:p>
    <w:p w:rsidR="00000000" w:rsidDel="00000000" w:rsidP="00000000" w:rsidRDefault="00000000" w:rsidRPr="00000000" w14:paraId="000000F5">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tl w:val="0"/>
        </w:rPr>
      </w:r>
    </w:p>
    <w:bookmarkStart w:colFirst="0" w:colLast="0" w:name="s8rjce36lzgu" w:id="10"/>
    <w:bookmarkEnd w:id="10"/>
    <w:p w:rsidR="00000000" w:rsidDel="00000000" w:rsidP="00000000" w:rsidRDefault="00000000" w:rsidRPr="00000000" w14:paraId="000000F7">
      <w:pPr>
        <w:pageBreakBefore w:val="0"/>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management plan</w:t>
      </w:r>
    </w:p>
    <w:p w:rsidR="00000000" w:rsidDel="00000000" w:rsidP="00000000" w:rsidRDefault="00000000" w:rsidRPr="00000000" w14:paraId="000000F8">
      <w:pPr>
        <w:pageBreakBefore w:val="0"/>
        <w:widowControl w:val="0"/>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Tools</w:t>
      </w:r>
    </w:p>
    <w:p w:rsidR="00000000" w:rsidDel="00000000" w:rsidP="00000000" w:rsidRDefault="00000000" w:rsidRPr="00000000" w14:paraId="000000F9">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survey will be created using Qualtrics with a modified Repeated Partner PGG template from Smartriqs. Analysis will primarily be conducted using R Studio. Some preliminary data cleaning and analysis may be conducted using Microsoft Excel on an as-needed basis. To collect the final data, participants will be solicited to complete the experiment via MTurk.</w:t>
      </w:r>
    </w:p>
    <w:p w:rsidR="00000000" w:rsidDel="00000000" w:rsidP="00000000" w:rsidRDefault="00000000" w:rsidRPr="00000000" w14:paraId="000000FA">
      <w:pPr>
        <w:pageBreakBefore w:val="0"/>
        <w:widowControl w:val="0"/>
        <w:spacing w:line="276"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B">
      <w:pPr>
        <w:pageBreakBefore w:val="0"/>
        <w:widowControl w:val="0"/>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Confidentiality</w:t>
      </w:r>
      <w:r w:rsidDel="00000000" w:rsidR="00000000" w:rsidRPr="00000000">
        <w:rPr>
          <w:rtl w:val="0"/>
        </w:rPr>
      </w:r>
    </w:p>
    <w:p w:rsidR="00000000" w:rsidDel="00000000" w:rsidP="00000000" w:rsidRDefault="00000000" w:rsidRPr="00000000" w14:paraId="000000FC">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team will ensure and strictly maintain confidentiality. Each participant’s responses and data will be assigned a random ID number to preserve anonymity. Participant data will not be accessible to anyone outside the research team and their advisors. Consent for participation will be requested. Individual responses will be reported as aggregate data. At no point will individual responses be reported in isolation as to be made identifiable. Although demographic information will be collected, no personal or otherwise sensitive information will be requested or stored. Subjects may omit responses to demographic questions, and they will retain the right to withdraw from the experiment at any time, at which point their data will be destroyed. </w:t>
      </w:r>
    </w:p>
    <w:p w:rsidR="00000000" w:rsidDel="00000000" w:rsidP="00000000" w:rsidRDefault="00000000" w:rsidRPr="00000000" w14:paraId="000000FD">
      <w:pPr>
        <w:pageBreakBefore w:val="0"/>
        <w:widowControl w:val="0"/>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E">
      <w:pPr>
        <w:pageBreakBefore w:val="0"/>
        <w:widowControl w:val="0"/>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Storage</w:t>
      </w:r>
    </w:p>
    <w:p w:rsidR="00000000" w:rsidDel="00000000" w:rsidP="00000000" w:rsidRDefault="00000000" w:rsidRPr="00000000" w14:paraId="000000FF">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responses will be collected and stored as a .sav file on a password-protected computer only accessible by authorized researchers and their advisors. Confidential data will be destroyed seven years after the data collection period has ended.</w:t>
      </w:r>
    </w:p>
    <w:p w:rsidR="00000000" w:rsidDel="00000000" w:rsidP="00000000" w:rsidRDefault="00000000" w:rsidRPr="00000000" w14:paraId="00000100">
      <w:pPr>
        <w:pageBreakBefore w:val="0"/>
        <w:widowControl w:val="0"/>
        <w:spacing w:line="276" w:lineRule="auto"/>
        <w:ind w:left="720" w:firstLine="0"/>
        <w:rPr>
          <w:rFonts w:ascii="Times New Roman" w:cs="Times New Roman" w:eastAsia="Times New Roman" w:hAnsi="Times New Roman"/>
          <w:i w:val="1"/>
          <w:sz w:val="24"/>
          <w:szCs w:val="24"/>
        </w:rPr>
      </w:pPr>
      <w:r w:rsidDel="00000000" w:rsidR="00000000" w:rsidRPr="00000000">
        <w:rPr>
          <w:rtl w:val="0"/>
        </w:rPr>
      </w:r>
    </w:p>
    <w:bookmarkStart w:colFirst="0" w:colLast="0" w:name="5fenrzeaypao" w:id="11"/>
    <w:bookmarkEnd w:id="11"/>
    <w:p w:rsidR="00000000" w:rsidDel="00000000" w:rsidP="00000000" w:rsidRDefault="00000000" w:rsidRPr="00000000" w14:paraId="00000101">
      <w:pPr>
        <w:pageBreakBefore w:val="0"/>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Pilot Data Collection </w:t>
      </w:r>
    </w:p>
    <w:p w:rsidR="00000000" w:rsidDel="00000000" w:rsidP="00000000" w:rsidRDefault="00000000" w:rsidRPr="00000000" w14:paraId="00000102">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03/22/2022,</w:t>
      </w:r>
      <w:r w:rsidDel="00000000" w:rsidR="00000000" w:rsidRPr="00000000">
        <w:rPr>
          <w:rFonts w:ascii="Times New Roman" w:cs="Times New Roman" w:eastAsia="Times New Roman" w:hAnsi="Times New Roman"/>
          <w:sz w:val="24"/>
          <w:szCs w:val="24"/>
          <w:rtl w:val="0"/>
        </w:rPr>
        <w:t xml:space="preserve"> the research team will begin contacting individuals within their respective social networks to collect preliminary data for the experiment with the intention of reaching 40 total observations. This will help identify any problems with the experiment before a subsequent MTurk pretest. Methods of solicitation include, but are not limited to, sharing the survey on Facebook, Twitter, other social media platforms, privately messaging family members, and posting survey links within Slack workgroups. Pilot-phase participants will be asked</w:t>
      </w:r>
      <w:r w:rsidDel="00000000" w:rsidR="00000000" w:rsidRPr="00000000">
        <w:rPr>
          <w:rFonts w:ascii="Times New Roman" w:cs="Times New Roman" w:eastAsia="Times New Roman" w:hAnsi="Times New Roman"/>
          <w:sz w:val="24"/>
          <w:szCs w:val="24"/>
          <w:rtl w:val="0"/>
        </w:rPr>
        <w:t xml:space="preserve"> the full set of standard experiment questions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Following the initial pretest, the research team will run a pretest on MTurk, the platform which will host the final experiment on 04/04/2022. This will further identify potential problems with the participant’s experience of the experiment before performing the final data collection. Again, this cohort of participants will be asked the full set of standard experiment questions. </w:t>
      </w:r>
      <w:r w:rsidDel="00000000" w:rsidR="00000000" w:rsidRPr="00000000">
        <w:rPr>
          <w:rtl w:val="0"/>
        </w:rPr>
      </w:r>
    </w:p>
    <w:p w:rsidR="00000000" w:rsidDel="00000000" w:rsidP="00000000" w:rsidRDefault="00000000" w:rsidRPr="00000000" w14:paraId="00000105">
      <w:pPr>
        <w:pageBreakBefore w:val="0"/>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pageBreakBefore w:val="0"/>
        <w:widowControl w:val="0"/>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Final</w:t>
      </w:r>
      <w:r w:rsidDel="00000000" w:rsidR="00000000" w:rsidRPr="00000000">
        <w:rPr>
          <w:rFonts w:ascii="Times New Roman" w:cs="Times New Roman" w:eastAsia="Times New Roman" w:hAnsi="Times New Roman"/>
          <w:b w:val="1"/>
          <w:sz w:val="24"/>
          <w:szCs w:val="24"/>
          <w:rtl w:val="0"/>
        </w:rPr>
        <w:t xml:space="preserve"> </w:t>
      </w:r>
      <w:bookmarkStart w:colFirst="0" w:colLast="0" w:name="6hk7yoln6g1n" w:id="12"/>
      <w:bookmarkEnd w:id="12"/>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07">
      <w:pPr>
        <w:pageBreakBefore w:val="0"/>
        <w:widowControl w:val="0"/>
        <w:spacing w:line="276" w:lineRule="auto"/>
        <w:ind w:left="0" w:firstLine="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24"/>
          <w:szCs w:val="24"/>
          <w:rtl w:val="0"/>
        </w:rPr>
        <w:t xml:space="preserve">Beginning 04/13/2022  the research team will run our Qualtrics survey on Mturk and begin collecting data. The final sample size will be approximately 1400 participants before exclusions.</w:t>
      </w:r>
      <w:r w:rsidDel="00000000" w:rsidR="00000000" w:rsidRPr="00000000">
        <w:rPr>
          <w:rtl w:val="0"/>
        </w:rPr>
      </w:r>
    </w:p>
    <w:p w:rsidR="00000000" w:rsidDel="00000000" w:rsidP="00000000" w:rsidRDefault="00000000" w:rsidRPr="00000000" w14:paraId="00000108">
      <w:pPr>
        <w:pageBreakBefore w:val="0"/>
        <w:spacing w:line="276" w:lineRule="auto"/>
        <w:ind w:left="720" w:firstLine="0"/>
        <w:rPr>
          <w:rFonts w:ascii="Times New Roman" w:cs="Times New Roman" w:eastAsia="Times New Roman" w:hAnsi="Times New Roman"/>
          <w:i w:val="1"/>
          <w:color w:val="4a86e8"/>
          <w:sz w:val="24"/>
          <w:szCs w:val="24"/>
          <w:highlight w:val="yellow"/>
        </w:rPr>
      </w:pPr>
      <w:r w:rsidDel="00000000" w:rsidR="00000000" w:rsidRPr="00000000">
        <w:rPr>
          <w:rtl w:val="0"/>
        </w:rPr>
      </w:r>
    </w:p>
    <w:bookmarkStart w:colFirst="0" w:colLast="0" w:name="yp4518582kws" w:id="13"/>
    <w:bookmarkEnd w:id="13"/>
    <w:p w:rsidR="00000000" w:rsidDel="00000000" w:rsidP="00000000" w:rsidRDefault="00000000" w:rsidRPr="00000000" w14:paraId="00000109">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Compensation</w:t>
      </w:r>
      <w:r w:rsidDel="00000000" w:rsidR="00000000" w:rsidRPr="00000000">
        <w:rPr>
          <w:rFonts w:ascii="Times New Roman" w:cs="Times New Roman" w:eastAsia="Times New Roman" w:hAnsi="Times New Roman"/>
          <w:b w:val="1"/>
          <w:sz w:val="24"/>
          <w:szCs w:val="24"/>
          <w:rtl w:val="0"/>
        </w:rPr>
        <w:t xml:space="preserve"> structure</w:t>
      </w:r>
    </w:p>
    <w:p w:rsidR="00000000" w:rsidDel="00000000" w:rsidP="00000000" w:rsidRDefault="00000000" w:rsidRPr="00000000" w14:paraId="0000010A">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participant will be paid a show up fee in line with the approximate hourly wage of Mturk workers. The study will be made incentive compatible by entering each participant into a lottery for one of 8 $50 Amazon gift cards. Performance will be incentivized by weighting lottery selection based on the amount of tokens the participant finishes the game with (final payout). The lottery will be conducted after the final data collection has been completed and winners will be contacted on Mturk and given their gift cards. </w:t>
      </w:r>
    </w:p>
    <w:p w:rsidR="00000000" w:rsidDel="00000000" w:rsidP="00000000" w:rsidRDefault="00000000" w:rsidRPr="00000000" w14:paraId="0000010B">
      <w:pPr>
        <w:pageBreakBefore w:val="0"/>
        <w:spacing w:line="276"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0C">
      <w:pPr>
        <w:pageBreakBefore w:val="0"/>
        <w:spacing w:line="276"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0D">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spacing w:line="276" w:lineRule="auto"/>
        <w:ind w:left="0" w:firstLine="0"/>
        <w:jc w:val="left"/>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b w:val="1"/>
          <w:sz w:val="28"/>
          <w:szCs w:val="28"/>
          <w:rtl w:val="0"/>
        </w:rPr>
        <w:t xml:space="preserve">EMPIRICAL ANALYSIS</w:t>
      </w:r>
      <w:r w:rsidDel="00000000" w:rsidR="00000000" w:rsidRPr="00000000">
        <w:rPr>
          <w:rtl w:val="0"/>
        </w:rPr>
      </w:r>
    </w:p>
    <w:p w:rsidR="00000000" w:rsidDel="00000000" w:rsidP="00000000" w:rsidRDefault="00000000" w:rsidRPr="00000000" w14:paraId="0000010F">
      <w:pPr>
        <w:pageBreakBefore w:val="0"/>
        <w:spacing w:line="276" w:lineRule="auto"/>
        <w:ind w:left="0" w:firstLine="0"/>
        <w:jc w:val="left"/>
        <w:rPr>
          <w:rFonts w:ascii="Times New Roman" w:cs="Times New Roman" w:eastAsia="Times New Roman" w:hAnsi="Times New Roman"/>
          <w:i w:val="1"/>
          <w:color w:val="4a86e8"/>
          <w:sz w:val="24"/>
          <w:szCs w:val="24"/>
        </w:rPr>
      </w:pPr>
      <w:r w:rsidDel="00000000" w:rsidR="00000000" w:rsidRPr="00000000">
        <w:rPr>
          <w:rtl w:val="0"/>
        </w:rPr>
      </w:r>
    </w:p>
    <w:bookmarkStart w:colFirst="0" w:colLast="0" w:name="r5l71ggni9f4" w:id="14"/>
    <w:bookmarkEnd w:id="14"/>
    <w:p w:rsidR="00000000" w:rsidDel="00000000" w:rsidP="00000000" w:rsidRDefault="00000000" w:rsidRPr="00000000" w14:paraId="00000110">
      <w:pPr>
        <w:pageBreakBefore w:val="0"/>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Methods</w:t>
      </w:r>
    </w:p>
    <w:p w:rsidR="00000000" w:rsidDel="00000000" w:rsidP="00000000" w:rsidRDefault="00000000" w:rsidRPr="00000000" w14:paraId="00000111">
      <w:pPr>
        <w:pageBreakBefore w:val="0"/>
        <w:spacing w:line="276"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evaluation and underlying assumptions </w:t>
      </w:r>
    </w:p>
    <w:p w:rsidR="00000000" w:rsidDel="00000000" w:rsidP="00000000" w:rsidRDefault="00000000" w:rsidRPr="00000000" w14:paraId="00000112">
      <w:pPr>
        <w:pageBreakBefore w:val="0"/>
        <w:spacing w:line="276" w:lineRule="auto"/>
        <w:ind w:left="0" w:firstLine="0"/>
        <w:jc w:val="left"/>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sz w:val="24"/>
          <w:szCs w:val="24"/>
          <w:rtl w:val="0"/>
        </w:rPr>
        <w:t xml:space="preserve">Because we have a limited amount of funds to compensate participants, our sample size will  end up being smaller than preferred. This will impact the effectiveness of parametric tests because the assumptions of normality and homogeneity of variances may not be met. The assumption of independence between observations will be met though, given our between-subject design. We will conduct a Wilcoxon Rank Sum test to measure our primary research questions. We will also conduct a regression model to test the robustness of our effects as well as the effects of fairness and uncertainty on contributions. These tests will allow us to circumvent issues of non-normality, heterogeneity of variances, and floor and ceiling effec</w:t>
      </w:r>
      <w:r w:rsidDel="00000000" w:rsidR="00000000" w:rsidRPr="00000000">
        <w:rPr>
          <w:rFonts w:ascii="Times New Roman" w:cs="Times New Roman" w:eastAsia="Times New Roman" w:hAnsi="Times New Roman"/>
          <w:sz w:val="24"/>
          <w:szCs w:val="24"/>
          <w:rtl w:val="0"/>
        </w:rPr>
        <w:t xml:space="preserve">ts.</w:t>
      </w:r>
      <w:r w:rsidDel="00000000" w:rsidR="00000000" w:rsidRPr="00000000">
        <w:rPr>
          <w:rtl w:val="0"/>
        </w:rPr>
      </w:r>
    </w:p>
    <w:p w:rsidR="00000000" w:rsidDel="00000000" w:rsidP="00000000" w:rsidRDefault="00000000" w:rsidRPr="00000000" w14:paraId="00000113">
      <w:pPr>
        <w:pageBreakBefore w:val="0"/>
        <w:spacing w:line="276" w:lineRule="auto"/>
        <w:ind w:left="720" w:firstLine="0"/>
        <w:jc w:val="left"/>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114">
      <w:pPr>
        <w:pageBreakBefore w:val="0"/>
        <w:spacing w:line="276"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Rules for missing values</w:t>
      </w:r>
    </w:p>
    <w:p w:rsidR="00000000" w:rsidDel="00000000" w:rsidP="00000000" w:rsidRDefault="00000000" w:rsidRPr="00000000" w14:paraId="00000115">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try to mitigate issues of missing values, the Qualtrics design will require participants to complete the questions on each page before moving forward. If, though, missing values do arise for any other reason, those participants will be excluded from the analysis. </w:t>
      </w:r>
    </w:p>
    <w:p w:rsidR="00000000" w:rsidDel="00000000" w:rsidP="00000000" w:rsidRDefault="00000000" w:rsidRPr="00000000" w14:paraId="00000116">
      <w:pPr>
        <w:pageBreakBefore w:val="0"/>
        <w:spacing w:line="276" w:lineRule="auto"/>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7">
      <w:pPr>
        <w:pageBreakBefore w:val="0"/>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Model</w:t>
      </w:r>
      <w:r w:rsidDel="00000000" w:rsidR="00000000" w:rsidRPr="00000000">
        <w:rPr>
          <w:rtl w:val="0"/>
        </w:rPr>
      </w:r>
    </w:p>
    <w:p w:rsidR="00000000" w:rsidDel="00000000" w:rsidP="00000000" w:rsidRDefault="00000000" w:rsidRPr="00000000" w14:paraId="00000118">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Main statistical tests</w:t>
      </w:r>
      <w:r w:rsidDel="00000000" w:rsidR="00000000" w:rsidRPr="00000000">
        <w:rPr>
          <w:rtl w:val="0"/>
        </w:rPr>
      </w:r>
    </w:p>
    <w:p w:rsidR="00000000" w:rsidDel="00000000" w:rsidP="00000000" w:rsidRDefault="00000000" w:rsidRPr="00000000" w14:paraId="00000119">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six of our hypotheses, we will conduct the non-parametric Wilcoxon Rank-Sum Test because of the limits in sample size and the difficulties of assuming normality of our distribution as well as heterogeneity of variances. </w:t>
      </w:r>
      <w:r w:rsidDel="00000000" w:rsidR="00000000" w:rsidRPr="00000000">
        <w:rPr>
          <w:rFonts w:ascii="Times New Roman" w:cs="Times New Roman" w:eastAsia="Times New Roman" w:hAnsi="Times New Roman"/>
          <w:sz w:val="24"/>
          <w:szCs w:val="24"/>
          <w:rtl w:val="0"/>
        </w:rPr>
        <w:t xml:space="preserve">With these tests, we will compare each condition to the control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as well as the interaction between experimental conditions to each other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5</w:t>
      </w:r>
      <w:r w:rsidDel="00000000" w:rsidR="00000000" w:rsidRPr="00000000">
        <w:rPr>
          <w:rFonts w:ascii="Times New Roman" w:cs="Times New Roman" w:eastAsia="Times New Roman" w:hAnsi="Times New Roman"/>
          <w:b w:val="1"/>
          <w:sz w:val="24"/>
          <w:szCs w:val="24"/>
          <w:rtl w:val="0"/>
        </w:rPr>
        <w:t xml:space="preserve"> &amp; H</w:t>
      </w:r>
      <w:r w:rsidDel="00000000" w:rsidR="00000000" w:rsidRPr="00000000">
        <w:rPr>
          <w:rFonts w:ascii="Times New Roman" w:cs="Times New Roman" w:eastAsia="Times New Roman" w:hAnsi="Times New Roman"/>
          <w:b w:val="1"/>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A">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model</w:t>
      </w:r>
    </w:p>
    <w:p w:rsidR="00000000" w:rsidDel="00000000" w:rsidP="00000000" w:rsidRDefault="00000000" w:rsidRPr="00000000" w14:paraId="0000011C">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design an ordinary least squares (OLS) regression model to test the effect of fairness of our results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vertAlign w:val="subscript"/>
          <w:rtl w:val="0"/>
        </w:rPr>
        <w:t xml:space="preserve">7</w:t>
      </w:r>
      <w:r w:rsidDel="00000000" w:rsidR="00000000" w:rsidRPr="00000000">
        <w:rPr>
          <w:rFonts w:ascii="Times New Roman" w:cs="Times New Roman" w:eastAsia="Times New Roman" w:hAnsi="Times New Roman"/>
          <w:b w:val="1"/>
          <w:sz w:val="24"/>
          <w:szCs w:val="24"/>
          <w:rtl w:val="0"/>
        </w:rPr>
        <w:t xml:space="preserve"> &amp; H</w:t>
      </w:r>
      <w:r w:rsidDel="00000000" w:rsidR="00000000" w:rsidRPr="00000000">
        <w:rPr>
          <w:rFonts w:ascii="Times New Roman" w:cs="Times New Roman" w:eastAsia="Times New Roman" w:hAnsi="Times New Roman"/>
          <w:b w:val="1"/>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An OLS will also allow us to control for floor and ceiling effects in our data. We acknowledge that this will introduce some bias into our results that could be mitigated by using a Tobit regression (Mcbee, 2010). However, these tests assume floor effects are a result of nonparticipation (Foster &amp; Kalenkoski, 2013). Though, in PGGs not contributing is a viable strategy and does not indicate nonparticipation. This regression will assist us in controlling for any possible effects caused by these variables. The model will be the following:</w:t>
      </w:r>
    </w:p>
    <w:p w:rsidR="00000000" w:rsidDel="00000000" w:rsidP="00000000" w:rsidRDefault="00000000" w:rsidRPr="00000000" w14:paraId="0000011E">
      <w:pPr>
        <w:pageBreakBefore w:val="0"/>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Ɛ</w:t>
      </w:r>
      <w:r w:rsidDel="00000000" w:rsidR="00000000" w:rsidRPr="00000000">
        <w:rPr>
          <w:rtl w:val="0"/>
        </w:rPr>
      </w:r>
    </w:p>
    <w:p w:rsidR="00000000" w:rsidDel="00000000" w:rsidP="00000000" w:rsidRDefault="00000000" w:rsidRPr="00000000" w14:paraId="0000012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Dependent measures (Contribution rates)</w:t>
      </w:r>
    </w:p>
    <w:p w:rsidR="00000000" w:rsidDel="00000000" w:rsidP="00000000" w:rsidRDefault="00000000" w:rsidRPr="00000000" w14:paraId="0000012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Coefficient intercept</w:t>
      </w:r>
    </w:p>
    <w:p w:rsidR="00000000" w:rsidDel="00000000" w:rsidP="00000000" w:rsidRDefault="00000000" w:rsidRPr="00000000" w14:paraId="0000012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Coefficient estimates</w:t>
      </w:r>
    </w:p>
    <w:p w:rsidR="00000000" w:rsidDel="00000000" w:rsidP="00000000" w:rsidRDefault="00000000" w:rsidRPr="00000000" w14:paraId="0000012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Experimental group</w:t>
      </w:r>
    </w:p>
    <w:p w:rsidR="00000000" w:rsidDel="00000000" w:rsidP="00000000" w:rsidRDefault="00000000" w:rsidRPr="00000000" w14:paraId="0000012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Contribution Rates </w:t>
      </w:r>
    </w:p>
    <w:p w:rsidR="00000000" w:rsidDel="00000000" w:rsidP="00000000" w:rsidRDefault="00000000" w:rsidRPr="00000000" w14:paraId="0000012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Fairness #1</w:t>
      </w:r>
    </w:p>
    <w:p w:rsidR="00000000" w:rsidDel="00000000" w:rsidP="00000000" w:rsidRDefault="00000000" w:rsidRPr="00000000" w14:paraId="0000012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Fairness #2</w:t>
      </w:r>
    </w:p>
    <w:p w:rsidR="00000000" w:rsidDel="00000000" w:rsidP="00000000" w:rsidRDefault="00000000" w:rsidRPr="00000000" w14:paraId="0000012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6 </w:t>
      </w:r>
      <w:r w:rsidDel="00000000" w:rsidR="00000000" w:rsidRPr="00000000">
        <w:rPr>
          <w:rFonts w:ascii="Times New Roman" w:cs="Times New Roman" w:eastAsia="Times New Roman" w:hAnsi="Times New Roman"/>
          <w:sz w:val="24"/>
          <w:szCs w:val="24"/>
          <w:rtl w:val="0"/>
        </w:rPr>
        <w:t xml:space="preserve">= Fairness #3</w:t>
      </w:r>
    </w:p>
    <w:p w:rsidR="00000000" w:rsidDel="00000000" w:rsidP="00000000" w:rsidRDefault="00000000" w:rsidRPr="00000000" w14:paraId="0000012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Ɛ = Error term  </w:t>
      </w:r>
    </w:p>
    <w:p w:rsidR="00000000" w:rsidDel="00000000" w:rsidP="00000000" w:rsidRDefault="00000000" w:rsidRPr="00000000" w14:paraId="0000012A">
      <w:pPr>
        <w:pageBreakBefore w:val="0"/>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group variable will be categorical and will correspond to each of the experimental groups. All of the other variables will be numerical data.</w:t>
      </w:r>
    </w:p>
    <w:p w:rsidR="00000000" w:rsidDel="00000000" w:rsidP="00000000" w:rsidRDefault="00000000" w:rsidRPr="00000000" w14:paraId="0000012C">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run another regression to test the robustness of our results. Specifically, we want to determine whether any demographic variables will impact the results seen in our dependent measures. The model will be the following: </w:t>
      </w:r>
    </w:p>
    <w:p w:rsidR="00000000" w:rsidDel="00000000" w:rsidP="00000000" w:rsidRDefault="00000000" w:rsidRPr="00000000" w14:paraId="0000012E">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Ɛ</w:t>
      </w:r>
      <w:r w:rsidDel="00000000" w:rsidR="00000000" w:rsidRPr="00000000">
        <w:rPr>
          <w:rtl w:val="0"/>
        </w:rPr>
      </w:r>
    </w:p>
    <w:p w:rsidR="00000000" w:rsidDel="00000000" w:rsidP="00000000" w:rsidRDefault="00000000" w:rsidRPr="00000000" w14:paraId="000001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Dependent measures (Contribution rates)</w:t>
      </w:r>
    </w:p>
    <w:p w:rsidR="00000000" w:rsidDel="00000000" w:rsidP="00000000" w:rsidRDefault="00000000" w:rsidRPr="00000000" w14:paraId="000001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Coefficient intercept</w:t>
      </w:r>
    </w:p>
    <w:p w:rsidR="00000000" w:rsidDel="00000000" w:rsidP="00000000" w:rsidRDefault="00000000" w:rsidRPr="00000000" w14:paraId="000001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11111"/>
          <w:sz w:val="24"/>
          <w:szCs w:val="24"/>
          <w:rtl w:val="0"/>
        </w:rPr>
        <w:t xml:space="preserve">β</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Coefficient estimates</w:t>
      </w:r>
    </w:p>
    <w:p w:rsidR="00000000" w:rsidDel="00000000" w:rsidP="00000000" w:rsidRDefault="00000000" w:rsidRPr="00000000" w14:paraId="000001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Experimental group</w:t>
      </w:r>
    </w:p>
    <w:p w:rsidR="00000000" w:rsidDel="00000000" w:rsidP="00000000" w:rsidRDefault="00000000" w:rsidRPr="00000000" w14:paraId="000001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Contribution Rates </w:t>
      </w:r>
    </w:p>
    <w:p w:rsidR="00000000" w:rsidDel="00000000" w:rsidP="00000000" w:rsidRDefault="00000000" w:rsidRPr="00000000" w14:paraId="000001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Age</w:t>
      </w:r>
    </w:p>
    <w:p w:rsidR="00000000" w:rsidDel="00000000" w:rsidP="00000000" w:rsidRDefault="00000000" w:rsidRPr="00000000" w14:paraId="000001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Gender</w:t>
      </w:r>
    </w:p>
    <w:p w:rsidR="00000000" w:rsidDel="00000000" w:rsidP="00000000" w:rsidRDefault="00000000" w:rsidRPr="00000000" w14:paraId="000001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6 </w:t>
      </w:r>
      <w:r w:rsidDel="00000000" w:rsidR="00000000" w:rsidRPr="00000000">
        <w:rPr>
          <w:rFonts w:ascii="Times New Roman" w:cs="Times New Roman" w:eastAsia="Times New Roman" w:hAnsi="Times New Roman"/>
          <w:sz w:val="24"/>
          <w:szCs w:val="24"/>
          <w:rtl w:val="0"/>
        </w:rPr>
        <w:t xml:space="preserve">= Ethnicity</w:t>
      </w:r>
    </w:p>
    <w:p w:rsidR="00000000" w:rsidDel="00000000" w:rsidP="00000000" w:rsidRDefault="00000000" w:rsidRPr="00000000" w14:paraId="000001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Ɛ = Error term  </w:t>
      </w:r>
      <w:r w:rsidDel="00000000" w:rsidR="00000000" w:rsidRPr="00000000">
        <w:rPr>
          <w:rtl w:val="0"/>
        </w:rPr>
      </w:r>
    </w:p>
    <w:p w:rsidR="00000000" w:rsidDel="00000000" w:rsidP="00000000" w:rsidRDefault="00000000" w:rsidRPr="00000000" w14:paraId="0000013A">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is a ratio variable that we will ask participants to enter in the survey manually. Only whole numbers will be allowed in the text box. Gender is a categorical variable that we will ask participants to choose from a list. The options will be Male, Female, Other. Ethnicity will also be a categorical variable. </w:t>
      </w:r>
    </w:p>
    <w:p w:rsidR="00000000" w:rsidDel="00000000" w:rsidP="00000000" w:rsidRDefault="00000000" w:rsidRPr="00000000" w14:paraId="0000013C">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spacing w:line="276"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1">
      <w:pPr>
        <w:pageBreakBefore w:val="0"/>
        <w:spacing w:line="276" w:lineRule="auto"/>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2">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spacing w:line="276"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4">
      <w:pPr>
        <w:pageBreakBefore w:val="0"/>
        <w:spacing w:line="480" w:lineRule="auto"/>
        <w:ind w:lef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45">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Butera, L., Grossman, P. J., Houser, D., List, J. A., &amp; Villeval, M. C. (2020). </w:t>
      </w:r>
      <w:r w:rsidDel="00000000" w:rsidR="00000000" w:rsidRPr="00000000">
        <w:rPr>
          <w:rFonts w:ascii="Times New Roman" w:cs="Times New Roman" w:eastAsia="Times New Roman" w:hAnsi="Times New Roman"/>
          <w:i w:val="1"/>
          <w:color w:val="222222"/>
          <w:sz w:val="24"/>
          <w:szCs w:val="24"/>
          <w:highlight w:val="white"/>
          <w:rtl w:val="0"/>
        </w:rPr>
        <w:t xml:space="preserve">A new mechanism to alleviate the crises of confidence in science-with an application to the public goods game</w:t>
      </w:r>
      <w:r w:rsidDel="00000000" w:rsidR="00000000" w:rsidRPr="00000000">
        <w:rPr>
          <w:rFonts w:ascii="Times New Roman" w:cs="Times New Roman" w:eastAsia="Times New Roman" w:hAnsi="Times New Roman"/>
          <w:color w:val="222222"/>
          <w:sz w:val="24"/>
          <w:szCs w:val="24"/>
          <w:highlight w:val="white"/>
          <w:rtl w:val="0"/>
        </w:rPr>
        <w:t xml:space="preserve"> (No. w26801). National Bureau of Economic Research.</w:t>
      </w:r>
    </w:p>
    <w:p w:rsidR="00000000" w:rsidDel="00000000" w:rsidP="00000000" w:rsidRDefault="00000000" w:rsidRPr="00000000" w14:paraId="00000146">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Butera, L., &amp; List, J. A. (2017). </w:t>
      </w:r>
      <w:r w:rsidDel="00000000" w:rsidR="00000000" w:rsidRPr="00000000">
        <w:rPr>
          <w:rFonts w:ascii="Times New Roman" w:cs="Times New Roman" w:eastAsia="Times New Roman" w:hAnsi="Times New Roman"/>
          <w:i w:val="1"/>
          <w:color w:val="222222"/>
          <w:sz w:val="24"/>
          <w:szCs w:val="24"/>
          <w:highlight w:val="white"/>
          <w:rtl w:val="0"/>
        </w:rPr>
        <w:t xml:space="preserve">An economic approach to alleviate the crises of confidence in science: With an application to the public goods game</w:t>
      </w:r>
      <w:r w:rsidDel="00000000" w:rsidR="00000000" w:rsidRPr="00000000">
        <w:rPr>
          <w:rFonts w:ascii="Times New Roman" w:cs="Times New Roman" w:eastAsia="Times New Roman" w:hAnsi="Times New Roman"/>
          <w:color w:val="222222"/>
          <w:sz w:val="24"/>
          <w:szCs w:val="24"/>
          <w:highlight w:val="white"/>
          <w:rtl w:val="0"/>
        </w:rPr>
        <w:t xml:space="preserve"> (No. w23335). National Bureau of Economic Research.</w:t>
      </w:r>
    </w:p>
    <w:p w:rsidR="00000000" w:rsidDel="00000000" w:rsidP="00000000" w:rsidRDefault="00000000" w:rsidRPr="00000000" w14:paraId="0000014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Crump, M. J., McDonnell, J. V., &amp; Gureckis, T. M. (2013). Evaluating Amazon's Mechanical </w:t>
      </w:r>
    </w:p>
    <w:p w:rsidR="00000000" w:rsidDel="00000000" w:rsidP="00000000" w:rsidRDefault="00000000" w:rsidRPr="00000000" w14:paraId="00000148">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Turk as a tool for experimental behavioral research. </w:t>
      </w:r>
      <w:r w:rsidDel="00000000" w:rsidR="00000000" w:rsidRPr="00000000">
        <w:rPr>
          <w:rFonts w:ascii="Times New Roman" w:cs="Times New Roman" w:eastAsia="Times New Roman" w:hAnsi="Times New Roman"/>
          <w:i w:val="1"/>
          <w:sz w:val="24"/>
          <w:szCs w:val="24"/>
          <w:highlight w:val="white"/>
          <w:rtl w:val="0"/>
        </w:rPr>
        <w:t xml:space="preserve">PloS 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8</w:t>
      </w:r>
      <w:r w:rsidDel="00000000" w:rsidR="00000000" w:rsidRPr="00000000">
        <w:rPr>
          <w:rFonts w:ascii="Times New Roman" w:cs="Times New Roman" w:eastAsia="Times New Roman" w:hAnsi="Times New Roman"/>
          <w:sz w:val="24"/>
          <w:szCs w:val="24"/>
          <w:highlight w:val="white"/>
          <w:rtl w:val="0"/>
        </w:rPr>
        <w:t xml:space="preserve">(3), e57410.</w:t>
      </w:r>
      <w:r w:rsidDel="00000000" w:rsidR="00000000" w:rsidRPr="00000000">
        <w:rPr>
          <w:rtl w:val="0"/>
        </w:rPr>
      </w:r>
    </w:p>
    <w:p w:rsidR="00000000" w:rsidDel="00000000" w:rsidP="00000000" w:rsidRDefault="00000000" w:rsidRPr="00000000" w14:paraId="00000149">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Dannenberg, A., Löschel, A., Paolacci, G., Reif, C., &amp; Tavoni, A. (2011). Coordination under threshold uncertainty in a public goods game. </w:t>
      </w:r>
      <w:r w:rsidDel="00000000" w:rsidR="00000000" w:rsidRPr="00000000">
        <w:rPr>
          <w:rFonts w:ascii="Times New Roman" w:cs="Times New Roman" w:eastAsia="Times New Roman" w:hAnsi="Times New Roman"/>
          <w:i w:val="1"/>
          <w:color w:val="222222"/>
          <w:sz w:val="24"/>
          <w:szCs w:val="24"/>
          <w:highlight w:val="white"/>
          <w:rtl w:val="0"/>
        </w:rPr>
        <w:t xml:space="preserve">ZEW-Centre for European Economic Research Discussion Paper</w:t>
      </w:r>
      <w:r w:rsidDel="00000000" w:rsidR="00000000" w:rsidRPr="00000000">
        <w:rPr>
          <w:rFonts w:ascii="Times New Roman" w:cs="Times New Roman" w:eastAsia="Times New Roman" w:hAnsi="Times New Roman"/>
          <w:color w:val="222222"/>
          <w:sz w:val="24"/>
          <w:szCs w:val="24"/>
          <w:highlight w:val="white"/>
          <w:rtl w:val="0"/>
        </w:rPr>
        <w:t xml:space="preserve">, (11-065).</w:t>
      </w:r>
      <w:r w:rsidDel="00000000" w:rsidR="00000000" w:rsidRPr="00000000">
        <w:rPr>
          <w:rtl w:val="0"/>
        </w:rPr>
      </w:r>
    </w:p>
    <w:p w:rsidR="00000000" w:rsidDel="00000000" w:rsidP="00000000" w:rsidRDefault="00000000" w:rsidRPr="00000000" w14:paraId="0000014A">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Foster, G., &amp; Kalenkoski, C. M. (2013). Tobit or OLS? An empirical evaluation under different diary window lengths. </w:t>
      </w:r>
      <w:r w:rsidDel="00000000" w:rsidR="00000000" w:rsidRPr="00000000">
        <w:rPr>
          <w:rFonts w:ascii="Times New Roman" w:cs="Times New Roman" w:eastAsia="Times New Roman" w:hAnsi="Times New Roman"/>
          <w:i w:val="1"/>
          <w:color w:val="222222"/>
          <w:sz w:val="24"/>
          <w:szCs w:val="24"/>
          <w:highlight w:val="white"/>
          <w:rtl w:val="0"/>
        </w:rPr>
        <w:t xml:space="preserve">Applied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45</w:t>
      </w:r>
      <w:r w:rsidDel="00000000" w:rsidR="00000000" w:rsidRPr="00000000">
        <w:rPr>
          <w:rFonts w:ascii="Times New Roman" w:cs="Times New Roman" w:eastAsia="Times New Roman" w:hAnsi="Times New Roman"/>
          <w:color w:val="222222"/>
          <w:sz w:val="24"/>
          <w:szCs w:val="24"/>
          <w:highlight w:val="white"/>
          <w:rtl w:val="0"/>
        </w:rPr>
        <w:t xml:space="preserve">(20), 2994-3010.</w:t>
      </w:r>
    </w:p>
    <w:p w:rsidR="00000000" w:rsidDel="00000000" w:rsidP="00000000" w:rsidRDefault="00000000" w:rsidRPr="00000000" w14:paraId="0000014B">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Gächter, S., Kölle, F., &amp; Quercia, S. (2017). Reciprocity and the tragedies of maintaining and providing the commons. </w:t>
      </w:r>
      <w:r w:rsidDel="00000000" w:rsidR="00000000" w:rsidRPr="00000000">
        <w:rPr>
          <w:rFonts w:ascii="Times New Roman" w:cs="Times New Roman" w:eastAsia="Times New Roman" w:hAnsi="Times New Roman"/>
          <w:i w:val="1"/>
          <w:color w:val="222222"/>
          <w:sz w:val="24"/>
          <w:szCs w:val="24"/>
          <w:highlight w:val="white"/>
          <w:rtl w:val="0"/>
        </w:rPr>
        <w:t xml:space="preserve">Nature human behaviour</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(9), 650-656.</w:t>
      </w:r>
    </w:p>
    <w:p w:rsidR="00000000" w:rsidDel="00000000" w:rsidP="00000000" w:rsidRDefault="00000000" w:rsidRPr="00000000" w14:paraId="0000014C">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Gangadharan, L., &amp; Nemes, V. (2009). Experimental analysis of risk and uncertainty in provisioning private and public goods. </w:t>
      </w:r>
      <w:r w:rsidDel="00000000" w:rsidR="00000000" w:rsidRPr="00000000">
        <w:rPr>
          <w:rFonts w:ascii="Times New Roman" w:cs="Times New Roman" w:eastAsia="Times New Roman" w:hAnsi="Times New Roman"/>
          <w:i w:val="1"/>
          <w:color w:val="222222"/>
          <w:sz w:val="24"/>
          <w:szCs w:val="24"/>
          <w:highlight w:val="white"/>
          <w:rtl w:val="0"/>
        </w:rPr>
        <w:t xml:space="preserve">Economic Inquiry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47</w:t>
      </w:r>
      <w:r w:rsidDel="00000000" w:rsidR="00000000" w:rsidRPr="00000000">
        <w:rPr>
          <w:rFonts w:ascii="Times New Roman" w:cs="Times New Roman" w:eastAsia="Times New Roman" w:hAnsi="Times New Roman"/>
          <w:color w:val="222222"/>
          <w:sz w:val="24"/>
          <w:szCs w:val="24"/>
          <w:highlight w:val="white"/>
          <w:rtl w:val="0"/>
        </w:rPr>
        <w:t xml:space="preserve">(1), 146-164.</w:t>
      </w:r>
    </w:p>
    <w:p w:rsidR="00000000" w:rsidDel="00000000" w:rsidP="00000000" w:rsidRDefault="00000000" w:rsidRPr="00000000" w14:paraId="0000014D">
      <w:pPr>
        <w:spacing w:line="480" w:lineRule="auto"/>
        <w:ind w:left="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McBee, M. (2010). Modeling outcomes with floor or ceiling effects: An introduction to the Tobit model. </w:t>
      </w:r>
      <w:r w:rsidDel="00000000" w:rsidR="00000000" w:rsidRPr="00000000">
        <w:rPr>
          <w:rFonts w:ascii="Times New Roman" w:cs="Times New Roman" w:eastAsia="Times New Roman" w:hAnsi="Times New Roman"/>
          <w:i w:val="1"/>
          <w:color w:val="222222"/>
          <w:sz w:val="24"/>
          <w:szCs w:val="24"/>
          <w:highlight w:val="white"/>
          <w:rtl w:val="0"/>
        </w:rPr>
        <w:t xml:space="preserve">Gifted Child Quarterly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54</w:t>
      </w:r>
      <w:r w:rsidDel="00000000" w:rsidR="00000000" w:rsidRPr="00000000">
        <w:rPr>
          <w:rFonts w:ascii="Times New Roman" w:cs="Times New Roman" w:eastAsia="Times New Roman" w:hAnsi="Times New Roman"/>
          <w:color w:val="222222"/>
          <w:sz w:val="24"/>
          <w:szCs w:val="24"/>
          <w:highlight w:val="white"/>
          <w:rtl w:val="0"/>
        </w:rPr>
        <w:t xml:space="preserve">(4), 314-320.</w:t>
      </w:r>
      <w:r w:rsidDel="00000000" w:rsidR="00000000" w:rsidRPr="00000000">
        <w:rPr>
          <w:rtl w:val="0"/>
        </w:rPr>
      </w:r>
    </w:p>
    <w:p w:rsidR="00000000" w:rsidDel="00000000" w:rsidP="00000000" w:rsidRDefault="00000000" w:rsidRPr="00000000" w14:paraId="0000014E">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Schulz, K. F., &amp; Grimes, D. A. (2002). Sample size slippages in randomised trials: exclusions and the lost and wayward. </w:t>
      </w:r>
      <w:r w:rsidDel="00000000" w:rsidR="00000000" w:rsidRPr="00000000">
        <w:rPr>
          <w:rFonts w:ascii="Times New Roman" w:cs="Times New Roman" w:eastAsia="Times New Roman" w:hAnsi="Times New Roman"/>
          <w:i w:val="1"/>
          <w:sz w:val="24"/>
          <w:szCs w:val="24"/>
          <w:highlight w:val="white"/>
          <w:rtl w:val="0"/>
        </w:rPr>
        <w:t xml:space="preserve">The Lancet</w:t>
      </w:r>
      <w:r w:rsidDel="00000000" w:rsidR="00000000" w:rsidRPr="00000000">
        <w:rPr>
          <w:rFonts w:ascii="Times New Roman" w:cs="Times New Roman" w:eastAsia="Times New Roman" w:hAnsi="Times New Roman"/>
          <w:sz w:val="24"/>
          <w:szCs w:val="24"/>
          <w:highlight w:val="white"/>
          <w:rtl w:val="0"/>
        </w:rPr>
        <w:t xml:space="preserve">, 359(9308), 781-785.</w:t>
      </w:r>
    </w:p>
    <w:p w:rsidR="00000000" w:rsidDel="00000000" w:rsidP="00000000" w:rsidRDefault="00000000" w:rsidRPr="00000000" w14:paraId="0000014F">
      <w:pPr>
        <w:spacing w:line="360" w:lineRule="auto"/>
        <w:ind w:left="720"/>
        <w:rPr>
          <w:color w:val="222222"/>
          <w:sz w:val="20"/>
          <w:szCs w:val="20"/>
          <w:highlight w:val="white"/>
        </w:rPr>
      </w:pPr>
      <w:r w:rsidDel="00000000" w:rsidR="00000000" w:rsidRPr="00000000">
        <w:rPr>
          <w:rtl w:val="0"/>
        </w:rPr>
      </w:r>
    </w:p>
    <w:p w:rsidR="00000000" w:rsidDel="00000000" w:rsidP="00000000" w:rsidRDefault="00000000" w:rsidRPr="00000000" w14:paraId="0000015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spacing w:after="0" w:lineRule="auto"/>
      <w:ind w:right="-11940"/>
      <w:rPr>
        <w:rFonts w:ascii="Times New Roman" w:cs="Times New Roman" w:eastAsia="Times New Roman" w:hAnsi="Times New Roman"/>
        <w:color w:val="9900ff"/>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