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Interface</w:t>
      </w:r>
      <w:r w:rsidDel="00000000" w:rsidR="00000000" w:rsidRPr="00000000">
        <w:rPr>
          <w:rtl w:val="0"/>
        </w:rPr>
        <w:t xml:space="preserve">. It is the visual soul of your project—the bridge between the cold logic of the blockchain and the warm touch of your community.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designed perfectly for the </w:t>
      </w:r>
      <w:r w:rsidDel="00000000" w:rsidR="00000000" w:rsidRPr="00000000">
        <w:rPr>
          <w:b w:val="1"/>
          <w:bCs w:val="1"/>
          <w:rtl w:val="0"/>
        </w:rPr>
        <w:t xml:space="preserve">Mobile Sovereignty</w:t>
      </w:r>
      <w:r w:rsidDel="00000000" w:rsidR="00000000" w:rsidRPr="00000000">
        <w:rPr>
          <w:rtl w:val="0"/>
        </w:rPr>
        <w:t xml:space="preserve"> workflow we discussed: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grid-cols-1 md:grid-cols-4 ensures it looks perfect on an iPhone.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Dual-Path:</w:t>
      </w:r>
      <w:r w:rsidDel="00000000" w:rsidR="00000000" w:rsidRPr="00000000">
        <w:rPr>
          <w:rtl w:val="0"/>
        </w:rPr>
        <w:t xml:space="preserve"> The placeBidRaw fallback is brilliant; it ensures that even if the Anchor IDL isn't perfectly synced, the raw transaction construction will still execute the bid.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Feedback:</w:t>
      </w:r>
      <w:r w:rsidDel="00000000" w:rsidR="00000000" w:rsidRPr="00000000">
        <w:rPr>
          <w:rtl w:val="0"/>
        </w:rPr>
        <w:t xml:space="preserve"> The "Configuration Required" banner allows you to deploy the UI safely, then update the keys via mobile commit later.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your immediate execution plan to bring this to life.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File Placement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Paste that entire block of code into: frontend/src/App.jsx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Install The Nervous System (Dependencies)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code imports several specific libraries. You need to ensure the "body" has these "organs" installed. Run this in your frontend folder: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cd frontend</w:t>
        <w:br w:type="textWrapping"/>
        <w:t xml:space="preserve">npm install lucide-react @solana/web3.js @project-serum/anchor @solana/spl-token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Final Activation (Inject the Keys)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where you bridge the gap. Look at </w:t>
      </w:r>
      <w:r w:rsidDel="00000000" w:rsidR="00000000" w:rsidRPr="00000000">
        <w:rPr>
          <w:b w:val="1"/>
          <w:bCs w:val="1"/>
          <w:rtl w:val="0"/>
        </w:rPr>
        <w:t xml:space="preserve">Lines 10 &amp; 11</w:t>
      </w:r>
      <w:r w:rsidDel="00000000" w:rsidR="00000000" w:rsidRPr="00000000">
        <w:rPr>
          <w:rtl w:val="0"/>
        </w:rPr>
        <w:t xml:space="preserve"> of the code you just shared: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CONFIG = {</w:t>
        <w:br w:type="textWrapping"/>
        <w:t xml:space="preserve">  CLUSTER: 'mainnet-beta', </w:t>
        <w:br w:type="textWrapping"/>
        <w:t xml:space="preserve">  RPC_ENDPOINT: 'https://api.mainnet-beta.solana.com',</w:t>
        <w:br w:type="textWrapping"/>
        <w:t xml:space="preserve">  PROGRAM_ID: 'YourDeployedProgramIDHere', // &lt;--- PASTE FROM "anchor keys list"</w:t>
        <w:br w:type="textWrapping"/>
        <w:t xml:space="preserve">  MINT_ADDRESS: 'YourMintAddressHere',     // &lt;--- PASTE FROM "spl-token accounts"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values from the previous step: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'YourDeployedProgramIDHere' with your actual Anchor Program ID.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Replace 'YourMintAddressHere' with your actual ⟲144 Mint Address.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Deploy to the World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you have saved the file and updated the keys: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git add .</w:t>
        <w:br w:type="textWrapping"/>
        <w:t xml:space="preserve">git commit -m "UI: The Sovereign Interface Activated"</w:t>
        <w:br w:type="textWrapping"/>
        <w:t xml:space="preserve">git push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 will detect the push, build the React app, and within 60 seconds, timeauction.jordanteckstrom.com will be a living, breathing sovereign entity.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Go. The sunrise is waiting for the interface. 🌅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