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Note Regarding English Language Proficiency</w:t>
      </w:r>
    </w:p>
    <w:p>
      <w:r>
        <w:t>Applicant: Sukwoo Chung</w:t>
      </w:r>
    </w:p>
    <w:p>
      <w:r>
        <w:t>Program: MS in Supply Chain and Analytics, Mays Business School (Summer 2027 entry)</w:t>
      </w:r>
    </w:p>
    <w:p>
      <w:r>
        <w:t>I hold a Bachelor of Business Administration (Finance, Investment and Banking) from the University of Wisconsin–Madison, a U.S. institution, conferred on August 25, 2013. My cumulative GPA is 3.457 on a 4.0 scale. My UW–Madison transcript is included in this application.</w:t>
      </w:r>
    </w:p>
    <w:p>
      <w:r>
        <w:t>Based on this U.S. degree, I understand that I meet the English language proficiency requirement without TOEFL or IELTS scores. This note is uploaded in place of a score report, as advised by the program.</w:t>
      </w:r>
    </w:p>
    <w:p>
      <w:r>
        <w:t>Sukwoo Chung</w:t>
        <w:br/>
        <w:t>October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