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Insight2Sale 客户自部署手册</w:t>
      </w:r>
    </w:p>
    <w:p>
      <w:pPr>
        <w:jc w:val="center"/>
      </w:pPr>
      <w:r>
        <w:rPr>
          <w:sz w:val="22"/>
        </w:rPr>
        <w:t>（v0.8 基线 · 含服务器、HTTPS、AI 密钥与数据迁移说明）</w:t>
      </w:r>
    </w:p>
    <w:p/>
    <w:p>
      <w:pPr>
        <w:pStyle w:val="Heading1"/>
      </w:pPr>
      <w:r>
        <w:t>文档说明</w:t>
      </w:r>
    </w:p>
    <w:p>
      <w:r>
        <w:rPr>
          <w:b w:val="0"/>
          <w:sz w:val="22"/>
        </w:rPr>
        <w:t>本文面向需要在自有服务器（含阿里云 ECS 等）上部署 Insight2Sale 的交付方或客户运维人员。内容整合：服务器规格与软件、从 GitHub 拉取代码、数据库与迁移、环境变量（含火山引擎方舟与豆包语音）、HTTPS、进程守护、验证步骤，以及演示数据与知识库迁移注意事项。</w:t>
      </w:r>
    </w:p>
    <w:p>
      <w:pPr>
        <w:pStyle w:val="Heading1"/>
      </w:pPr>
      <w:r>
        <w:t>一、源代码与 GitHub 访问方式</w:t>
      </w:r>
    </w:p>
    <w:p>
      <w:r>
        <w:rPr>
          <w:b/>
          <w:sz w:val="22"/>
        </w:rPr>
        <w:t>官方仓库地址（请核对是否为最新）：</w:t>
      </w:r>
    </w:p>
    <w:p>
      <w:r>
        <w:rPr>
          <w:b w:val="0"/>
          <w:sz w:val="22"/>
        </w:rPr>
        <w:t>https://github.com/jordanwang922/Insight2Sale</w:t>
      </w:r>
    </w:p>
    <w:p>
      <w:pPr>
        <w:pStyle w:val="Heading2"/>
      </w:pPr>
      <w:r>
        <w:t>1.1 公开仓库与私有仓库的选择</w:t>
      </w:r>
    </w:p>
    <w:p>
      <w:pPr>
        <w:pStyle w:val="ListBullet"/>
      </w:pPr>
      <w:r>
        <w:t>若仓库为 Public：任何知道链接的人均可 git clone 源码。请避免在仓库或 Issue 中提交 .env、密钥与真实客户数据。</w:t>
      </w:r>
    </w:p>
    <w:p>
      <w:pPr>
        <w:pStyle w:val="ListBullet"/>
      </w:pPr>
      <w:r>
        <w:t>若仓库为 Private：客户无法用匿名方式拉代码。常见做法包括：在 GitHub 将客户指定的 GitHub 账号添加为 Collaborator（建议只读）、或为部署机配置 Deploy SSH Key / Fine-grained Personal Access Token（仅勾选 Contents: Read）。</w:t>
      </w:r>
    </w:p>
    <w:p>
      <w:pPr>
        <w:pStyle w:val="ListBullet"/>
      </w:pPr>
      <w:r>
        <w:t>交付物中的「程序」以 Git 仓库为准；数据库与 storage 中的上传文件需单独迁移（见后文）。</w:t>
      </w:r>
    </w:p>
    <w:p>
      <w:pPr>
        <w:pStyle w:val="Heading2"/>
      </w:pPr>
      <w:r>
        <w:t>1.2 获取代码（在服务器上执行）</w:t>
      </w:r>
    </w:p>
    <w:p>
      <w:r>
        <w:rPr>
          <w:b/>
          <w:sz w:val="22"/>
        </w:rPr>
        <w:t>建议使用固定版本标签部署，便于回滚与对齐文档：</w:t>
      </w:r>
    </w:p>
    <w:p>
      <w:r>
        <w:rPr>
          <w:b w:val="0"/>
          <w:sz w:val="22"/>
        </w:rPr>
        <w:t>git clone https://github.com/jordanwang922/Insight2Sale.git</w:t>
      </w:r>
    </w:p>
    <w:p>
      <w:r>
        <w:rPr>
          <w:b w:val="0"/>
          <w:sz w:val="22"/>
        </w:rPr>
        <w:t>cd Insight2Sale</w:t>
      </w:r>
    </w:p>
    <w:p>
      <w:r>
        <w:rPr>
          <w:b w:val="0"/>
          <w:sz w:val="22"/>
        </w:rPr>
        <w:t>git fetch --tags</w:t>
      </w:r>
    </w:p>
    <w:p>
      <w:r>
        <w:rPr>
          <w:b w:val="0"/>
          <w:sz w:val="22"/>
        </w:rPr>
        <w:t>git checkout v0.8.0   # 或与交付方约定的 tag / commit</w:t>
      </w:r>
    </w:p>
    <w:p>
      <w:r>
        <w:rPr>
          <w:b/>
          <w:sz w:val="22"/>
        </w:rPr>
        <w:t>说明：若使用 SSH 地址，请将 HTTPS URL 换为 git@github.com:jordanwang922/Insight2Sale.git，并先在服务器配置 SSH 公钥。</w:t>
      </w:r>
    </w:p>
    <w:p>
      <w:pPr>
        <w:pStyle w:val="Heading1"/>
      </w:pPr>
      <w:r>
        <w:t>二、服务器与运行环境建议</w:t>
      </w:r>
    </w:p>
    <w:p>
      <w:pPr>
        <w:pStyle w:val="Heading2"/>
      </w:pPr>
      <w:r>
        <w:t>2.1 硬件与操作系统</w:t>
      </w:r>
    </w:p>
    <w:p>
      <w:pPr>
        <w:pStyle w:val="ListBullet"/>
      </w:pPr>
      <w:r>
        <w:t>计算：建议 2 核 CPU / 4 GB 内存起步；若知识库 PDF OCR、并发用户较多，建议 4 核 8 GB 或以上。</w:t>
      </w:r>
    </w:p>
    <w:p>
      <w:pPr>
        <w:pStyle w:val="ListBullet"/>
      </w:pPr>
      <w:r>
        <w:t>磁盘：系统盘 + 数据盘规划充足空间；知识库文件与通话录音会持续增长。</w:t>
      </w:r>
    </w:p>
    <w:p>
      <w:pPr>
        <w:pStyle w:val="ListBullet"/>
      </w:pPr>
      <w:r>
        <w:t>操作系统：Alibaba Cloud Linux 3、Ubuntu 22.04 LTS 等与 Node 20+ 兼容的 64 位系统。</w:t>
      </w:r>
    </w:p>
    <w:p>
      <w:pPr>
        <w:pStyle w:val="Heading2"/>
      </w:pPr>
      <w:r>
        <w:t>2.2 需要预先准备或开通的内容</w:t>
      </w:r>
    </w:p>
    <w:p>
      <w:pPr>
        <w:pStyle w:val="ListBullet"/>
      </w:pPr>
      <w:r>
        <w:t>公网 IP 与域名（推荐）：用于 HTTPS 与浏览器访问；备案按当地法规执行。</w:t>
      </w:r>
    </w:p>
    <w:p>
      <w:pPr>
        <w:pStyle w:val="ListBullet"/>
      </w:pPr>
      <w:r>
        <w:t>安全组：仅开放 22（建议限制来源 IP）、80、443；勿对公网开放数据库端口。</w:t>
      </w:r>
    </w:p>
    <w:p>
      <w:pPr>
        <w:pStyle w:val="ListBullet"/>
      </w:pPr>
      <w:r>
        <w:t>PostgreSQL：推荐使用阿里云 RDS PostgreSQL，或与 ECS 同机/内网自建 PostgreSQL（仅内网访问）。</w:t>
      </w:r>
    </w:p>
    <w:p>
      <w:pPr>
        <w:pStyle w:val="ListBullet"/>
      </w:pPr>
      <w:r>
        <w:t>可选：对象存储 OSS（当前版本默认使用服务器本地 storage 目录，迁移时需整目录备份）。</w:t>
      </w:r>
    </w:p>
    <w:p>
      <w:pPr>
        <w:pStyle w:val="Heading2"/>
      </w:pPr>
      <w:r>
        <w:t>2.3 服务器软件清单</w:t>
      </w:r>
    </w:p>
    <w:p>
      <w:pPr>
        <w:pStyle w:val="ListBullet"/>
      </w:pPr>
      <w:r>
        <w:t>Node.js：建议 LTS v20 或以上（与构建一致）。</w:t>
      </w:r>
    </w:p>
    <w:p>
      <w:pPr>
        <w:pStyle w:val="ListBullet"/>
      </w:pPr>
      <w:r>
        <w:t>npm：随 Node 安装；部署时使用 npm ci 或 npm install。</w:t>
      </w:r>
    </w:p>
    <w:p>
      <w:pPr>
        <w:pStyle w:val="ListBullet"/>
      </w:pPr>
      <w:r>
        <w:t>Nginx：反向代理、HTTPS、上传大小限制。</w:t>
      </w:r>
    </w:p>
    <w:p>
      <w:pPr>
        <w:pStyle w:val="ListBullet"/>
      </w:pPr>
      <w:r>
        <w:t>进程管理：PM2 或 systemd，保证进程崩溃自拉起与开机启动。</w:t>
      </w:r>
    </w:p>
    <w:p>
      <w:pPr>
        <w:pStyle w:val="ListBullet"/>
      </w:pPr>
      <w:r>
        <w:t>Git：用于拉取代码。</w:t>
      </w:r>
    </w:p>
    <w:p>
      <w:pPr>
        <w:pStyle w:val="ListBullet"/>
      </w:pPr>
      <w:r>
        <w:t>可选：Certbot 或阿里云 SSL 证书，用于 HTTPS。</w:t>
      </w:r>
    </w:p>
    <w:p>
      <w:pPr>
        <w:pStyle w:val="Heading1"/>
      </w:pPr>
      <w:r>
        <w:t>三、需要向云厂商与 AI 服务申请的内容</w:t>
      </w:r>
    </w:p>
    <w:p>
      <w:pPr>
        <w:pStyle w:val="Heading2"/>
      </w:pPr>
      <w:r>
        <w:t>3.1 火山引擎：方舟大模型（文本 / JSON，与「豆包语音」不是同一套密钥）</w:t>
      </w:r>
    </w:p>
    <w:p>
      <w:pPr>
        <w:pStyle w:val="ListBullet"/>
      </w:pPr>
      <w:r>
        <w:t>用途：客户解读台相关 AI、通话录音转写后的纪要/要点、测评表 AI 草案等（代码通过 ARK_* 调用）。</w:t>
      </w:r>
    </w:p>
    <w:p>
      <w:pPr>
        <w:pStyle w:val="ListBullet"/>
      </w:pPr>
      <w:r>
        <w:t>需在火山方舟控制台创建 API Key，并创建模型推理接入点；将接入点名称填入环境变量 ARK_MODEL。</w:t>
      </w:r>
    </w:p>
    <w:p>
      <w:pPr>
        <w:pStyle w:val="ListBullet"/>
      </w:pPr>
      <w:r>
        <w:t>环境变量：ARK_API_KEY、ARK_BASE_URL（一般为 https://ark.cn-beijing.volces.com/api/v3，以控制台为准）、ARK_MODEL、ARK_TIMEOUT_MS。</w:t>
      </w:r>
    </w:p>
    <w:p>
      <w:pPr>
        <w:pStyle w:val="Heading2"/>
      </w:pPr>
      <w:r>
        <w:t>3.2 火山引擎：豆包语音（通话录音转文字，妙记式分句）</w:t>
      </w:r>
    </w:p>
    <w:p>
      <w:pPr>
        <w:pStyle w:val="ListBullet"/>
      </w:pPr>
      <w:r>
        <w:t>用途：上传录音后的语音识别；与方舟密钥分离。</w:t>
      </w:r>
    </w:p>
    <w:p>
      <w:pPr>
        <w:pStyle w:val="ListBullet"/>
      </w:pPr>
      <w:r>
        <w:t>需在「豆包语音」控制台创建应用，取得 AppKey 与 Access Key；开通录音文件识别相关能力。</w:t>
      </w:r>
    </w:p>
    <w:p>
      <w:pPr>
        <w:pStyle w:val="ListBullet"/>
      </w:pPr>
      <w:r>
        <w:t>环境变量：VOLC_SPEECH_APP_KEY、VOLC_SPEECH_ACCESS_KEY；可选 VOLC_SPEECH_RESOURCE_ID（默认 volc.bigasr.auc_turbo）。</w:t>
      </w:r>
    </w:p>
    <w:p>
      <w:pPr>
        <w:pStyle w:val="ListBullet"/>
      </w:pPr>
      <w:r>
        <w:t>若未配置豆包语音，系统可尝试使用 OpenAI Whisper 作为备选（需 OPENAI_API_KEY），生产环境建议优先豆包语音。</w:t>
      </w:r>
    </w:p>
    <w:p>
      <w:pPr>
        <w:pStyle w:val="Heading2"/>
      </w:pPr>
      <w:r>
        <w:t>3.3 可选：OpenAI</w:t>
      </w:r>
    </w:p>
    <w:p>
      <w:r>
        <w:rPr>
          <w:b w:val="0"/>
          <w:sz w:val="22"/>
        </w:rPr>
        <w:t>OPENAI_API_KEY：仅在未配置豆包语音时作为录音转写备选；非必须。</w:t>
      </w:r>
    </w:p>
    <w:p>
      <w:pPr>
        <w:pStyle w:val="Heading1"/>
      </w:pPr>
      <w:r>
        <w:t>四、环境变量与 .env 配置</w:t>
      </w:r>
    </w:p>
    <w:p>
      <w:r>
        <w:rPr>
          <w:b/>
          <w:sz w:val="22"/>
        </w:rPr>
        <w:t>在项目根目录复制 .env.example 为 .env，权限建议 chmod 600。以下为要点（具体以交付时 .env.example 为准）：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变量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  <w:tc>
          <w:tcPr>
            <w:tcW w:type="dxa" w:w="3120"/>
          </w:tcPr>
          <w:p>
            <w:r>
              <w:t>是否必填</w:t>
            </w:r>
          </w:p>
        </w:tc>
      </w:tr>
      <w:tr>
        <w:tc>
          <w:tcPr>
            <w:tcW w:type="dxa" w:w="3120"/>
          </w:tcPr>
          <w:p>
            <w:r>
              <w:t>DATABASE_URL</w:t>
            </w:r>
          </w:p>
        </w:tc>
        <w:tc>
          <w:tcPr>
            <w:tcW w:type="dxa" w:w="3120"/>
          </w:tcPr>
          <w:p>
            <w:r>
              <w:t>PostgreSQL 连接串</w:t>
            </w:r>
          </w:p>
        </w:tc>
        <w:tc>
          <w:tcPr>
            <w:tcW w:type="dxa" w:w="3120"/>
          </w:tcPr>
          <w:p>
            <w:r>
              <w:t>必填</w:t>
            </w:r>
          </w:p>
        </w:tc>
      </w:tr>
      <w:tr>
        <w:tc>
          <w:tcPr>
            <w:tcW w:type="dxa" w:w="3120"/>
          </w:tcPr>
          <w:p>
            <w:r>
              <w:t>AUTH_SECRET</w:t>
            </w:r>
          </w:p>
        </w:tc>
        <w:tc>
          <w:tcPr>
            <w:tcW w:type="dxa" w:w="3120"/>
          </w:tcPr>
          <w:p>
            <w:r>
              <w:t>随机长字符串，用于会话加密</w:t>
            </w:r>
          </w:p>
        </w:tc>
        <w:tc>
          <w:tcPr>
            <w:tcW w:type="dxa" w:w="3120"/>
          </w:tcPr>
          <w:p>
            <w:r>
              <w:t>必填</w:t>
            </w:r>
          </w:p>
        </w:tc>
      </w:tr>
      <w:tr>
        <w:tc>
          <w:tcPr>
            <w:tcW w:type="dxa" w:w="3120"/>
          </w:tcPr>
          <w:p>
            <w:r>
              <w:t>AUTH_URL</w:t>
            </w:r>
          </w:p>
        </w:tc>
        <w:tc>
          <w:tcPr>
            <w:tcW w:type="dxa" w:w="3120"/>
          </w:tcPr>
          <w:p>
            <w:r>
              <w:t>对外访问的根 URL，须含 https 与域名，与浏览器地址一致</w:t>
            </w:r>
          </w:p>
        </w:tc>
        <w:tc>
          <w:tcPr>
            <w:tcW w:type="dxa" w:w="3120"/>
          </w:tcPr>
          <w:p>
            <w:r>
              <w:t>必填</w:t>
            </w:r>
          </w:p>
        </w:tc>
      </w:tr>
      <w:tr>
        <w:tc>
          <w:tcPr>
            <w:tcW w:type="dxa" w:w="3120"/>
          </w:tcPr>
          <w:p>
            <w:r>
              <w:t>ARK_API_KEY / ARK_BASE_URL / ARK_MODEL / ARK_TIMEOUT_MS</w:t>
            </w:r>
          </w:p>
        </w:tc>
        <w:tc>
          <w:tcPr>
            <w:tcW w:type="dxa" w:w="3120"/>
          </w:tcPr>
          <w:p>
            <w:r>
              <w:t>方舟大模型</w:t>
            </w:r>
          </w:p>
        </w:tc>
        <w:tc>
          <w:tcPr>
            <w:tcW w:type="dxa" w:w="3120"/>
          </w:tcPr>
          <w:p>
            <w:r>
              <w:t>功能需要时必填</w:t>
            </w:r>
          </w:p>
        </w:tc>
      </w:tr>
      <w:tr>
        <w:tc>
          <w:tcPr>
            <w:tcW w:type="dxa" w:w="3120"/>
          </w:tcPr>
          <w:p>
            <w:r>
              <w:t>VOLC_SPEECH_APP_KEY / VOLC_SPEECH_ACCESS_KEY</w:t>
            </w:r>
          </w:p>
        </w:tc>
        <w:tc>
          <w:tcPr>
            <w:tcW w:type="dxa" w:w="3120"/>
          </w:tcPr>
          <w:p>
            <w:r>
              <w:t>豆包语音转写</w:t>
            </w:r>
          </w:p>
        </w:tc>
        <w:tc>
          <w:tcPr>
            <w:tcW w:type="dxa" w:w="3120"/>
          </w:tcPr>
          <w:p>
            <w:r>
              <w:t>强烈建议</w:t>
            </w:r>
          </w:p>
        </w:tc>
      </w:tr>
      <w:tr>
        <w:tc>
          <w:tcPr>
            <w:tcW w:type="dxa" w:w="3120"/>
          </w:tcPr>
          <w:p>
            <w:r>
              <w:t>VOLC_SPEECH_RESOURCE_ID</w:t>
            </w:r>
          </w:p>
        </w:tc>
        <w:tc>
          <w:tcPr>
            <w:tcW w:type="dxa" w:w="3120"/>
          </w:tcPr>
          <w:p>
            <w:r>
              <w:t>语音资源 ID</w:t>
            </w:r>
          </w:p>
        </w:tc>
        <w:tc>
          <w:tcPr>
            <w:tcW w:type="dxa" w:w="3120"/>
          </w:tcPr>
          <w:p>
            <w:r>
              <w:t>可选</w:t>
            </w:r>
          </w:p>
        </w:tc>
      </w:tr>
      <w:tr>
        <w:tc>
          <w:tcPr>
            <w:tcW w:type="dxa" w:w="3120"/>
          </w:tcPr>
          <w:p>
            <w:r>
              <w:t>OPENAI_API_KEY</w:t>
            </w:r>
          </w:p>
        </w:tc>
        <w:tc>
          <w:tcPr>
            <w:tcW w:type="dxa" w:w="3120"/>
          </w:tcPr>
          <w:p>
            <w:r>
              <w:t>Whisper 备选转写</w:t>
            </w:r>
          </w:p>
        </w:tc>
        <w:tc>
          <w:tcPr>
            <w:tcW w:type="dxa" w:w="3120"/>
          </w:tcPr>
          <w:p>
            <w:r>
              <w:t>可选</w:t>
            </w:r>
          </w:p>
        </w:tc>
      </w:tr>
    </w:tbl>
    <w:p/>
    <w:p>
      <w:r>
        <w:rPr>
          <w:b/>
          <w:sz w:val="22"/>
        </w:rPr>
        <w:t>PDF 知识库 OCR 相关变量（PDF_OCR_*）见 .env.example 注释；知识库向量为本地 local-hash-v1，不依赖外部 Embedding API。</w:t>
      </w:r>
    </w:p>
    <w:p>
      <w:pPr>
        <w:pStyle w:val="Heading1"/>
      </w:pPr>
      <w:r>
        <w:t>五、数据库：迁移、演示数据与知识库整体搬迁</w:t>
      </w:r>
    </w:p>
    <w:p>
      <w:pPr>
        <w:pStyle w:val="Heading2"/>
      </w:pPr>
      <w:r>
        <w:t>5.1 全新空库部署</w:t>
      </w:r>
    </w:p>
    <w:p>
      <w:pPr>
        <w:pStyle w:val="ListNumber"/>
      </w:pPr>
      <w:r>
        <w:t>创建空数据库并配置 DATABASE_URL。</w:t>
      </w:r>
    </w:p>
    <w:p>
      <w:pPr>
        <w:pStyle w:val="ListNumber"/>
      </w:pPr>
      <w:r>
        <w:t>在项目目录执行：npx prisma migrate deploy</w:t>
      </w:r>
    </w:p>
    <w:p>
      <w:pPr>
        <w:pStyle w:val="ListNumber"/>
      </w:pPr>
      <w:r>
        <w:t>若需演示账号：npm run db:seed（会创建主管与两名销售等演示数据，详见 README）。</w:t>
      </w:r>
    </w:p>
    <w:p>
      <w:pPr>
        <w:pStyle w:val="Heading2"/>
      </w:pPr>
      <w:r>
        <w:t>5.2 保留交付方已上传的知识库（推荐）</w:t>
      </w:r>
    </w:p>
    <w:p>
      <w:r>
        <w:rPr>
          <w:b/>
          <w:sz w:val="22"/>
        </w:rPr>
        <w:t>知识库条目与向量存在 PostgreSQL 中；原始文件路径记录在库中，文件本体位于服务器 storage 目录（具体子目录以运行时为准）。仅恢复数据库而不同步 storage 会导致「记录存在但文件打不开」。建议交付方提供：</w:t>
      </w:r>
    </w:p>
    <w:p>
      <w:pPr>
        <w:pStyle w:val="ListBullet"/>
      </w:pPr>
      <w:r>
        <w:t>数据库备份：使用 pg_dump（自定义格式或 SQL），在客户环境恢复。</w:t>
      </w:r>
    </w:p>
    <w:p>
      <w:pPr>
        <w:pStyle w:val="ListBullet"/>
      </w:pPr>
      <w:r>
        <w:t>文件备份：将交付环境整个 storage 目录（或至少知识库相关上传目录）打包，在客户服务器相同项目路径下解压覆盖。</w:t>
      </w:r>
    </w:p>
    <w:p>
      <w:pPr>
        <w:pStyle w:val="ListBullet"/>
      </w:pPr>
      <w:r>
        <w:t>恢复顺序：先恢复文件与目录权限，再导入数据库，最后执行 prisma migrate deploy 确认 schema 版本与迁移一致（若备份来自已对齐的 schema，按交付方说明操作）。</w:t>
      </w:r>
    </w:p>
    <w:p>
      <w:r>
        <w:rPr>
          <w:b/>
          <w:sz w:val="22"/>
        </w:rPr>
        <w:t>具体 pg_dump / pg_restore 命令需与交付方约定数据库名、用户与路径；生产环境务必先备份客户侧再操作。</w:t>
      </w:r>
    </w:p>
    <w:p>
      <w:pPr>
        <w:pStyle w:val="Heading2"/>
      </w:pPr>
      <w:r>
        <w:t>5.3 演示账号与测试数据说明</w:t>
      </w:r>
    </w:p>
    <w:p>
      <w:pPr>
        <w:pStyle w:val="ListBullet"/>
      </w:pPr>
      <w:r>
        <w:t>种子数据（npm run db:seed）默认创建一名主管与两名销售，默认密码见仓库 README；首次登录后请立即修改密码。</w:t>
      </w:r>
    </w:p>
    <w:p>
      <w:pPr>
        <w:pStyle w:val="ListBullet"/>
      </w:pPr>
      <w:r>
        <w:t>主管账号可在后台使用「新增销售」创建更多销售账号；当前系统未提供「删除销售账号」界面，若需删除多余测试销售，请在数据库中由运维人员操作 User 表（注意外键与客户归属），或向交付方索要维护脚本。</w:t>
      </w:r>
    </w:p>
    <w:p>
      <w:pPr>
        <w:pStyle w:val="ListBullet"/>
      </w:pPr>
      <w:r>
        <w:t>重要：当前版本应用内没有「删除客户」功能；演示客户、测评记录若需清理，需在 PostgreSQL 中由 DBA 执行 SQL（注意备份与合规）。</w:t>
      </w:r>
    </w:p>
    <w:p>
      <w:pPr>
        <w:pStyle w:val="ListBullet"/>
      </w:pPr>
      <w:r>
        <w:t>若您通过 pg_dump 整体交付含知识库的库：可同时保留知识库数据；演示客户是否保留由业务决定，与知识库表无必然绑定。</w:t>
      </w:r>
    </w:p>
    <w:p>
      <w:pPr>
        <w:pStyle w:val="Heading1"/>
      </w:pPr>
      <w:r>
        <w:t>六、构建与启动</w:t>
      </w:r>
    </w:p>
    <w:p>
      <w:pPr>
        <w:pStyle w:val="ListNumber"/>
      </w:pPr>
      <w:r>
        <w:t>cd Insight2Sale</w:t>
      </w:r>
    </w:p>
    <w:p>
      <w:pPr>
        <w:pStyle w:val="ListNumber"/>
      </w:pPr>
      <w:r>
        <w:t>npm ci</w:t>
      </w:r>
    </w:p>
    <w:p>
      <w:pPr>
        <w:pStyle w:val="ListNumber"/>
      </w:pPr>
      <w:r>
        <w:t>export NODE_ENV=production</w:t>
      </w:r>
    </w:p>
    <w:p>
      <w:pPr>
        <w:pStyle w:val="ListNumber"/>
      </w:pPr>
      <w:r>
        <w:t>npm run build</w:t>
      </w:r>
    </w:p>
    <w:p>
      <w:pPr>
        <w:pStyle w:val="ListNumber"/>
      </w:pPr>
      <w:r>
        <w:t>npm run start -- --hostname 127.0.0.1 --port 3000   # 或约定端口，与 Nginx 一致</w:t>
      </w:r>
    </w:p>
    <w:p>
      <w:r>
        <w:rPr>
          <w:b/>
          <w:sz w:val="22"/>
        </w:rPr>
        <w:t>生产环境建议使用 PM2 或 systemd 托管上述 npm run start，并设置开机自启。</w:t>
      </w:r>
    </w:p>
    <w:p>
      <w:pPr>
        <w:pStyle w:val="Heading1"/>
      </w:pPr>
      <w:r>
        <w:t>七、Nginx 反向代理与 HTTPS</w:t>
      </w:r>
    </w:p>
    <w:p>
      <w:pPr>
        <w:pStyle w:val="ListBullet"/>
      </w:pPr>
      <w:r>
        <w:t>将 server_name 指向您的域名；proxy_pass 到 127.0.0.1:应用端口。</w:t>
      </w:r>
    </w:p>
    <w:p>
      <w:pPr>
        <w:pStyle w:val="ListBullet"/>
      </w:pPr>
      <w:r>
        <w:t>设置 proxy_set_header Host、X-Forwarded-Proto、X-Forwarded-For，以便 NextAuth 与 Cookie 在 HTTPS 下正常工作。</w:t>
      </w:r>
    </w:p>
    <w:p>
      <w:pPr>
        <w:pStyle w:val="ListBullet"/>
      </w:pPr>
      <w:r>
        <w:t>设置 client_max_body_size（例如 50m），避免知识库或录音上传被 Nginx 413 拒绝。</w:t>
      </w:r>
    </w:p>
    <w:p>
      <w:pPr>
        <w:pStyle w:val="ListBullet"/>
      </w:pPr>
      <w:r>
        <w:t>配置 SSL：可使用 Let's Encrypt（Certbot）或阿里云下载的证书文件。</w:t>
      </w:r>
    </w:p>
    <w:p>
      <w:pPr>
        <w:pStyle w:val="ListBullet"/>
      </w:pPr>
      <w:r>
        <w:t>将 AUTH_URL 设为 https://您的域名，与证书域名一致。</w:t>
      </w:r>
    </w:p>
    <w:p>
      <w:pPr>
        <w:pStyle w:val="Heading1"/>
      </w:pPr>
      <w:r>
        <w:t>八、上线验证清单</w:t>
      </w:r>
    </w:p>
    <w:p>
      <w:pPr>
        <w:pStyle w:val="ListBullet"/>
      </w:pPr>
      <w:r>
        <w:t>浏览器可打开 https 域名并进入登录页。</w:t>
      </w:r>
    </w:p>
    <w:p>
      <w:pPr>
        <w:pStyle w:val="ListBullet"/>
      </w:pPr>
      <w:r>
        <w:t>使用主管或销售账号登录成功。</w:t>
      </w:r>
    </w:p>
    <w:p>
      <w:pPr>
        <w:pStyle w:val="ListBullet"/>
      </w:pPr>
      <w:r>
        <w:t>随机打开客户解读台、知识库列表（若已迁移数据应能看到条目）。</w:t>
      </w:r>
    </w:p>
    <w:p>
      <w:pPr>
        <w:pStyle w:val="ListBullet"/>
      </w:pPr>
      <w:r>
        <w:t>上传小文件测试知识库（可选）。</w:t>
      </w:r>
    </w:p>
    <w:p>
      <w:pPr>
        <w:pStyle w:val="ListBullet"/>
      </w:pPr>
      <w:r>
        <w:t>在宽屏解读台测试通话录音上传与「通话管理」列表（需配置豆包语音密钥）。</w:t>
      </w:r>
    </w:p>
    <w:p>
      <w:pPr>
        <w:pStyle w:val="ListBullet"/>
      </w:pPr>
      <w:r>
        <w:t>检查服务器磁盘与 CPU 在 OCR 或大文件上传时是否充足。</w:t>
      </w:r>
    </w:p>
    <w:p>
      <w:pPr>
        <w:pStyle w:val="Heading1"/>
      </w:pPr>
      <w:r>
        <w:t>九、常见问题</w:t>
      </w:r>
    </w:p>
    <w:p>
      <w:pPr>
        <w:pStyle w:val="ListBullet"/>
      </w:pPr>
      <w:r>
        <w:t>登录异常：检查 AUTH_URL 是否与浏览器地址完全一致（含 https、域名、无多余端口）。</w:t>
      </w:r>
    </w:p>
    <w:p>
      <w:pPr>
        <w:pStyle w:val="ListBullet"/>
      </w:pPr>
      <w:r>
        <w:t>数据库报错缺列缺表：未执行 prisma migrate deploy 或备份与代码版本不一致。</w:t>
      </w:r>
    </w:p>
    <w:p>
      <w:pPr>
        <w:pStyle w:val="ListBullet"/>
      </w:pPr>
      <w:r>
        <w:t>转写失败：检查 VOLC_SPEECH_* 与火山控制台开通情况；或临时配置 OPENAI_API_KEY。</w:t>
      </w:r>
    </w:p>
    <w:p>
      <w:pPr>
        <w:pStyle w:val="ListBullet"/>
      </w:pPr>
      <w:r>
        <w:t>知识库有记录但文件 404：storage 目录未同步或路径不一致。</w:t>
      </w:r>
    </w:p>
    <w:p>
      <w:pPr>
        <w:pStyle w:val="ListBullet"/>
      </w:pPr>
      <w:r>
        <w:t>本机 3000 端口被占用：修改 next start 端口与 Nginx upstream 一致。</w:t>
      </w:r>
    </w:p>
    <w:p>
      <w:pPr>
        <w:pStyle w:val="Heading1"/>
      </w:pPr>
      <w:r>
        <w:t>十、支持与文档索引</w:t>
      </w:r>
    </w:p>
    <w:p>
      <w:pPr>
        <w:pStyle w:val="ListBullet"/>
      </w:pPr>
      <w:r>
        <w:t>产品设计基线：仓库内 docs/design/system-design.md</w:t>
      </w:r>
    </w:p>
    <w:p>
      <w:pPr>
        <w:pStyle w:val="ListBullet"/>
      </w:pPr>
      <w:r>
        <w:t>交接说明：docs/logs/handoff-log.md</w:t>
      </w:r>
    </w:p>
    <w:p>
      <w:pPr>
        <w:pStyle w:val="ListBullet"/>
      </w:pPr>
      <w:r>
        <w:t>README.md：本地启动与默认账号摘要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