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F6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36"/>
          <w:lang w:eastAsia="zh-CN"/>
        </w:rPr>
        <w:t>Insight2Sale 销售型 CRM 系统</w:t>
      </w:r>
      <w:r>
        <w:rPr>
          <w:rFonts w:ascii="微软雅黑" w:eastAsia="微软雅黑" w:hAnsi="微软雅黑"/>
          <w:b/>
          <w:sz w:val="36"/>
          <w:lang w:eastAsia="zh-CN"/>
        </w:rPr>
        <w:br/>
        <w:t>v1.0 生产环境部署指南（客户执行版）</w:t>
      </w:r>
    </w:p>
    <w:p w:rsidR="00D30F65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本文面向贵司运维 / 技术人员，按步骤 1、2、3… 说明从空服务器到可访问系统的全流程。</w:t>
      </w:r>
      <w:r>
        <w:rPr>
          <w:rFonts w:ascii="微软雅黑" w:eastAsia="微软雅黑" w:hAnsi="微软雅黑"/>
          <w:sz w:val="21"/>
          <w:lang w:eastAsia="zh-CN"/>
        </w:rPr>
        <w:br/>
        <w:t>包含：操作系统与依赖、数据库、火山方舟（对话 + 知识库向量）、可选豆包语音、环境变量、构建启动、HTTPS、持久化与验收。</w:t>
      </w:r>
    </w:p>
    <w:p w:rsidR="00D30F65" w:rsidRDefault="00D30F65">
      <w:pPr>
        <w:rPr>
          <w:lang w:eastAsia="zh-CN"/>
        </w:rPr>
      </w:pP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一、文档说明与适用对象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适用对象：贵司已提供一台 Linux 服务器 root 权限（或等价管理员权限），由贵司技术人员按本文完成部署；若由我方远程协助，仍建议以本文为检查清单。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软件版本：本文对应 Insight2Sale 发行版本 v1.0.0（与代码仓库 tag v1.0.0、</w:t>
      </w:r>
      <w:proofErr w:type="spellStart"/>
      <w:r>
        <w:rPr>
          <w:rFonts w:ascii="微软雅黑" w:eastAsia="微软雅黑" w:hAnsi="微软雅黑"/>
          <w:lang w:eastAsia="zh-CN"/>
        </w:rPr>
        <w:t>package.json</w:t>
      </w:r>
      <w:proofErr w:type="spellEnd"/>
      <w:r>
        <w:rPr>
          <w:rFonts w:ascii="微软雅黑" w:eastAsia="微软雅黑" w:hAnsi="微软雅黑"/>
          <w:lang w:eastAsia="zh-CN"/>
        </w:rPr>
        <w:t xml:space="preserve"> 版本一致）。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外部服务：系统依赖「火山引擎 · 方舟大模型」用于对话与知识库语义向量；通话录音转写另可选用「豆包语音」或备选 OpenAI Whisper。均需在对应控制台开通并获取密钥。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重要说明：知识库「向量」存于贵司自有 PostgreSQL 数据库字段中，通过方舟 API 在线生成向量；无需单独购买火山「托管向量数据库」独立产品，但必须在方舟控制台为 Embedding 单独创建推理接入点。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二、建议服务器与网络条件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在开始之前，请确认以下条件已具备或已规划：</w:t>
      </w:r>
    </w:p>
    <w:p w:rsidR="00D30F65" w:rsidRDefault="00000000">
      <w:pPr>
        <w:pStyle w:val="a0"/>
      </w:pPr>
      <w:r>
        <w:rPr>
          <w:rFonts w:ascii="微软雅黑" w:eastAsia="微软雅黑" w:hAnsi="微软雅黑"/>
        </w:rPr>
        <w:t>操作系统：推荐 Ubuntu Server 22.04 LTS 或同类长期支持版本（64 位）。</w:t>
      </w:r>
    </w:p>
    <w:p w:rsidR="00D30F65" w:rsidRDefault="00000000">
      <w:pPr>
        <w:pStyle w:val="a0"/>
      </w:pPr>
      <w:r>
        <w:rPr>
          <w:rFonts w:ascii="微软雅黑" w:eastAsia="微软雅黑" w:hAnsi="微软雅黑"/>
        </w:rPr>
        <w:t xml:space="preserve">CPU / </w:t>
      </w:r>
      <w:proofErr w:type="spellStart"/>
      <w:r>
        <w:rPr>
          <w:rFonts w:ascii="微软雅黑" w:eastAsia="微软雅黑" w:hAnsi="微软雅黑"/>
        </w:rPr>
        <w:t>内存：建议至少</w:t>
      </w:r>
      <w:proofErr w:type="spellEnd"/>
      <w:r>
        <w:rPr>
          <w:rFonts w:ascii="微软雅黑" w:eastAsia="微软雅黑" w:hAnsi="微软雅黑"/>
        </w:rPr>
        <w:t xml:space="preserve"> 2 vCPU、4GB RAM。</w:t>
      </w:r>
    </w:p>
    <w:p w:rsidR="00D30F65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磁盘：系统盘 + 数据盘规划；需为 PostgreSQL 数据、上传文件、通话录音预留空间（录音与上传随业务增长）。</w:t>
      </w:r>
    </w:p>
    <w:p w:rsidR="00D30F65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网络：服务器可访问公网，用于调用火山方舟 API；浏览器用户通过 HTTPS 访问贵司域名。</w:t>
      </w:r>
    </w:p>
    <w:p w:rsidR="00D30F65" w:rsidRDefault="00000000">
      <w:pPr>
        <w:pStyle w:val="a0"/>
      </w:pPr>
      <w:proofErr w:type="spellStart"/>
      <w:r>
        <w:rPr>
          <w:rFonts w:ascii="微软雅黑" w:eastAsia="微软雅黑" w:hAnsi="微软雅黑"/>
        </w:rPr>
        <w:lastRenderedPageBreak/>
        <w:t>域名与证书：生产环境强烈建议使用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HTTPS（Let's</w:t>
      </w:r>
      <w:proofErr w:type="spellEnd"/>
      <w:r>
        <w:rPr>
          <w:rFonts w:ascii="微软雅黑" w:eastAsia="微软雅黑" w:hAnsi="微软雅黑"/>
        </w:rPr>
        <w:t xml:space="preserve"> Encrypt </w:t>
      </w:r>
      <w:proofErr w:type="spellStart"/>
      <w:r>
        <w:rPr>
          <w:rFonts w:ascii="微软雅黑" w:eastAsia="微软雅黑" w:hAnsi="微软雅黑"/>
        </w:rPr>
        <w:t>或贵司证书</w:t>
      </w:r>
      <w:proofErr w:type="spellEnd"/>
      <w:r>
        <w:rPr>
          <w:rFonts w:ascii="微软雅黑" w:eastAsia="微软雅黑" w:hAnsi="微软雅黑"/>
        </w:rPr>
        <w:t>）；</w:t>
      </w:r>
      <w:proofErr w:type="spellStart"/>
      <w:r>
        <w:rPr>
          <w:rFonts w:ascii="微软雅黑" w:eastAsia="微软雅黑" w:hAnsi="微软雅黑"/>
        </w:rPr>
        <w:t>下文给出</w:t>
      </w:r>
      <w:proofErr w:type="spellEnd"/>
      <w:r>
        <w:rPr>
          <w:rFonts w:ascii="微软雅黑" w:eastAsia="微软雅黑" w:hAnsi="微软雅黑"/>
        </w:rPr>
        <w:t xml:space="preserve"> Nginx 反向代理思路。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三、步骤总览（您要依次完成的事）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准备服务器与基础环境（账户、防火墙、时区）。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 xml:space="preserve">2. </w:t>
      </w:r>
      <w:proofErr w:type="spellStart"/>
      <w:r>
        <w:rPr>
          <w:rFonts w:ascii="微软雅黑" w:eastAsia="微软雅黑" w:hAnsi="微软雅黑"/>
        </w:rPr>
        <w:t>安装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Node.js、包管理器、Git；安装并启动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PostgreSQL（可用</w:t>
      </w:r>
      <w:proofErr w:type="spellEnd"/>
      <w:r>
        <w:rPr>
          <w:rFonts w:ascii="微软雅黑" w:eastAsia="微软雅黑" w:hAnsi="微软雅黑"/>
        </w:rPr>
        <w:t xml:space="preserve"> Docker 或系统包）。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3. 在火山引擎开通方舟：对话模型接入点 + 知识库 Embedding 接入点（两个不同接入点 ID）。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开通豆包语音，用于通话录音转写。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获取代码、配置 .env、执行数据库迁移与（可选）种子数据。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若启用知识库向量：对已入库文档执行一次向量重算（或上线后首次上传前配置好 Embedding）。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构建前端、配置进程守护（如 PM2）与反向代理（Nginx）+ HTTPS。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配置录音与上传目录持久化，完成验收测试。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 （可选）若需扫描版 PDF 文字识别，在服务器安装 Tesseract 并按需配置 PDF_OCR_*。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四、步骤 1：服务器基础准备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使用 root 或 </w:t>
      </w:r>
      <w:proofErr w:type="spellStart"/>
      <w:r>
        <w:rPr>
          <w:rFonts w:ascii="微软雅黑" w:eastAsia="微软雅黑" w:hAnsi="微软雅黑"/>
          <w:lang w:eastAsia="zh-CN"/>
        </w:rPr>
        <w:t>sudo</w:t>
      </w:r>
      <w:proofErr w:type="spellEnd"/>
      <w:r>
        <w:rPr>
          <w:rFonts w:ascii="微软雅黑" w:eastAsia="微软雅黑" w:hAnsi="微软雅黑"/>
          <w:lang w:eastAsia="zh-CN"/>
        </w:rPr>
        <w:t xml:space="preserve"> 用户登录服务器。建议：设置时区（如 Asia/Shanghai）、配置防火墙仅开放 22（SSH）、80、443，数据库端口 5432 建议仅本机访问勿对公网暴露。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创建运行用户（可选，推荐非</w:t>
      </w:r>
      <w:proofErr w:type="spellEnd"/>
      <w:r>
        <w:rPr>
          <w:rFonts w:ascii="微软雅黑" w:eastAsia="微软雅黑" w:hAnsi="微软雅黑"/>
        </w:rPr>
        <w:t xml:space="preserve"> root 跑 Node 进程）：例如新增用户 insight2sale，后续项目目录归该用户所有。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五、步骤 2：安装 Node.js 与 Git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本项目为 Next.js 16 应用，建议使用 Node.js 20 LTS 或官方当前 LTS 版本。可使用 nvm 安装，或从 NodeSource 等渠道安装系统级 Node。同时安装 Git 以便拉取代码。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验证命令示例：node -v（应显示 v20.x 或兼容版本）；npm -v；git --version。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lastRenderedPageBreak/>
        <w:t>六、步骤 3：安装 PostgreSQL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</w:rPr>
        <w:t xml:space="preserve">方式 A：使用项目自带 </w:t>
      </w:r>
      <w:proofErr w:type="gramStart"/>
      <w:r>
        <w:rPr>
          <w:rFonts w:ascii="微软雅黑" w:eastAsia="微软雅黑" w:hAnsi="微软雅黑"/>
        </w:rPr>
        <w:t>compose.yaml</w:t>
      </w:r>
      <w:proofErr w:type="gramEnd"/>
      <w:r>
        <w:rPr>
          <w:rFonts w:ascii="微软雅黑" w:eastAsia="微软雅黑" w:hAnsi="微软雅黑"/>
        </w:rPr>
        <w:t xml:space="preserve"> 在本机启动 PostgreSQL 16 容器（需已安装 Docker 与 Docker Compose）。默认库名 insight2sale、用户 postgres、密码 postgres，端口映射 5432。</w:t>
      </w:r>
      <w:r>
        <w:rPr>
          <w:rFonts w:ascii="微软雅黑" w:eastAsia="微软雅黑" w:hAnsi="微软雅黑"/>
          <w:lang w:eastAsia="zh-CN"/>
        </w:rPr>
        <w:t>生产环境请修改默认密码并限制监听地址。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方式 B：使用系统包管理器安装 PostgreSQL 16，创建数据库与用户，记下 DATABASE_URL，格式示例：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postgresql://</w:t>
      </w:r>
      <w:proofErr w:type="gramStart"/>
      <w:r>
        <w:rPr>
          <w:rFonts w:ascii="微软雅黑" w:eastAsia="微软雅黑" w:hAnsi="微软雅黑"/>
        </w:rPr>
        <w:t>用户名:密码</w:t>
      </w:r>
      <w:proofErr w:type="gramEnd"/>
      <w:r>
        <w:rPr>
          <w:rFonts w:ascii="微软雅黑" w:eastAsia="微软雅黑" w:hAnsi="微软雅黑"/>
        </w:rPr>
        <w:t>@127.0.0.1:5432/insight2sale?schema=public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七、步骤 4：火山引擎方舟 — 必须开通的两类能力</w:t>
      </w:r>
    </w:p>
    <w:p w:rsidR="00D30F6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对话大模型（与解读台、纪要等共用）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登录火山引擎控制台，进入「机器学习平台 / 方舟」或当前产品入口，创建在线推理接入点，选择贵司采购的豆包对话模型。记录：API Key、Base URL（一般为 https://ark.cn-beijing.volces.com/api/v3 或控制台所示）、推理接入点 ID（将填入环境变量 ARK_MODEL）。</w:t>
      </w:r>
    </w:p>
    <w:p w:rsidR="00D30F6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知识库语义向量（Embedding，与对话模型不是同一个接入点）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在方舟控制台再创建一个专门用于「文本向量</w:t>
      </w:r>
      <w:proofErr w:type="spellEnd"/>
      <w:r>
        <w:rPr>
          <w:rFonts w:ascii="微软雅黑" w:eastAsia="微软雅黑" w:hAnsi="微软雅黑"/>
        </w:rPr>
        <w:t xml:space="preserve"> / </w:t>
      </w:r>
      <w:proofErr w:type="spellStart"/>
      <w:r>
        <w:rPr>
          <w:rFonts w:ascii="微软雅黑" w:eastAsia="微软雅黑" w:hAnsi="微软雅黑"/>
        </w:rPr>
        <w:t>Embedding」的推理接入点，模型类型选择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Doubao</w:t>
      </w:r>
      <w:proofErr w:type="spellEnd"/>
      <w:r>
        <w:rPr>
          <w:rFonts w:ascii="微软雅黑" w:eastAsia="微软雅黑" w:hAnsi="微软雅黑"/>
        </w:rPr>
        <w:t>-embedding 或控制台提供的文本向量模型，记录该接入点 ID（形如 ep-xxxx，将填入 ARK_EMBEDDING_MODEL）。切勿与 ARK_MODEL 混用。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若控制台提供的是「多模态 / Vision」类 Embedding（例如 Doubao-embedding-vision），需在环境变量中设置 ARK_EMBEDDING_USE_MULTIMODAL=1，系统将走 /embeddings/multimodal 接口；纯文本 Embedding 接入点则不要设置或设为 0。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说明：向量数据存储在贵司 PostgreSQL 表 </w:t>
      </w:r>
      <w:proofErr w:type="spellStart"/>
      <w:r>
        <w:rPr>
          <w:rFonts w:ascii="微软雅黑" w:eastAsia="微软雅黑" w:hAnsi="微软雅黑"/>
          <w:lang w:eastAsia="zh-CN"/>
        </w:rPr>
        <w:t>KnowledgeChunk</w:t>
      </w:r>
      <w:proofErr w:type="spellEnd"/>
      <w:r>
        <w:rPr>
          <w:rFonts w:ascii="微软雅黑" w:eastAsia="微软雅黑" w:hAnsi="微软雅黑"/>
          <w:lang w:eastAsia="zh-CN"/>
        </w:rPr>
        <w:t xml:space="preserve"> 中，不依赖火山单独「向量数据库」SaaS；但必须开通上述 Embedding 推理接入点，否则知识库只能降级为开发用本地哈希模式，检索质量不符合生产预期。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八、步骤 5：豆包语音 — 通话录音转写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使用「解读台录音</w:t>
      </w:r>
      <w:proofErr w:type="spellEnd"/>
      <w:r>
        <w:rPr>
          <w:rFonts w:ascii="微软雅黑" w:eastAsia="微软雅黑" w:hAnsi="微软雅黑"/>
        </w:rPr>
        <w:t xml:space="preserve"> → </w:t>
      </w:r>
      <w:proofErr w:type="spellStart"/>
      <w:r>
        <w:rPr>
          <w:rFonts w:ascii="微软雅黑" w:eastAsia="微软雅黑" w:hAnsi="微软雅黑"/>
        </w:rPr>
        <w:t>妙记式转写」功能，需在火山引擎「豆包语音」或控制台指引处单独开通应用，获取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AppKey、Access</w:t>
      </w:r>
      <w:proofErr w:type="spellEnd"/>
      <w:r>
        <w:rPr>
          <w:rFonts w:ascii="微软雅黑" w:eastAsia="微软雅黑" w:hAnsi="微软雅黑"/>
        </w:rPr>
        <w:t xml:space="preserve"> Key 等，填入 VOLC_SPEECH_APP_KEY、VOLC_SPEECH_ACCESS_KEY（</w:t>
      </w:r>
      <w:proofErr w:type="gramStart"/>
      <w:r>
        <w:rPr>
          <w:rFonts w:ascii="微软雅黑" w:eastAsia="微软雅黑" w:hAnsi="微软雅黑"/>
        </w:rPr>
        <w:t>详见 .env</w:t>
      </w:r>
      <w:proofErr w:type="gramEnd"/>
      <w:r>
        <w:rPr>
          <w:rFonts w:ascii="微软雅黑" w:eastAsia="微软雅黑" w:hAnsi="微软雅黑"/>
        </w:rPr>
        <w:t>.example）。未配置时可降级为 OpenAI Whisper（需 OPENAI_API_KEY），不推荐作为长期生产主路径。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九、步骤 6：获取代码与环境变量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将 Insight2Sale 私有仓库克隆到服务器某目录（或由我方提供 release 压缩包解压）。复制 .env.example 为 .env，按下一节填写。切勿将 .env 提交到 Git。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十、核心环境变量说明（.env）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下表为生产环境最常见配置项，具体以仓库根目录 .env.example 注释为准。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12"/>
        <w:gridCol w:w="2096"/>
        <w:gridCol w:w="2980"/>
      </w:tblGrid>
      <w:tr w:rsidR="00D30F65">
        <w:tc>
          <w:tcPr>
            <w:tcW w:w="3024" w:type="dxa"/>
            <w:shd w:val="clear" w:color="auto" w:fill="E7E6E6"/>
          </w:tcPr>
          <w:p w:rsidR="00D30F65" w:rsidRDefault="00000000">
            <w:r>
              <w:rPr>
                <w:rFonts w:ascii="微软雅黑" w:eastAsia="微软雅黑" w:hAnsi="微软雅黑"/>
                <w:b/>
              </w:rPr>
              <w:t>变量名</w:t>
            </w:r>
          </w:p>
        </w:tc>
        <w:tc>
          <w:tcPr>
            <w:tcW w:w="3024" w:type="dxa"/>
            <w:shd w:val="clear" w:color="auto" w:fill="E7E6E6"/>
          </w:tcPr>
          <w:p w:rsidR="00D30F65" w:rsidRDefault="00000000">
            <w:r>
              <w:rPr>
                <w:rFonts w:ascii="微软雅黑" w:eastAsia="微软雅黑" w:hAnsi="微软雅黑"/>
                <w:b/>
              </w:rPr>
              <w:t>是否必填</w:t>
            </w:r>
          </w:p>
        </w:tc>
        <w:tc>
          <w:tcPr>
            <w:tcW w:w="3024" w:type="dxa"/>
            <w:shd w:val="clear" w:color="auto" w:fill="E7E6E6"/>
          </w:tcPr>
          <w:p w:rsidR="00D30F65" w:rsidRDefault="00000000">
            <w:r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DATABASE_URL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PostgreSQL 连接串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AUTH_SECRET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随机长字符串，用于会话加密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AUTH_URL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对外访问根 URL，须与浏览器地址一致，含 https 与域名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NEXTAUTH_URL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建议与 AUTH_URL 相同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ARK_API_KEY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方舟 API Key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ARK_BASE_URL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一般为 https://ark.cn-beijing.volces.com/api/v3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ARK_MODEL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必填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对话推理接入点 ID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ARK_TIMEOUT_MS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默认 8000 毫秒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ARK_EMBEDDING_MODEL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生产强烈建议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Embedding 专用推理接入点 ID，与 ARK_MODEL 不同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ARK_EMBEDDING_USE_MULTIMODAL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视模型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多模态 Embedding 时设为 1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lastRenderedPageBreak/>
              <w:t>ARK_EMBEDDING_TIMEOUT_MS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3024" w:type="dxa"/>
          </w:tcPr>
          <w:p w:rsidR="00D30F6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向量批量较慢时可加大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NEXT_PUBLIC_SITE_URL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3024" w:type="dxa"/>
          </w:tcPr>
          <w:p w:rsidR="00D30F65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仅当反向代理未传 Host 时作兜底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VOLC_SPEECH_APP_KEY 等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豆包语音 AppKey；另需 ACCESS_KEY、RESOURCE_ID（默认 volc.bigasr.auc_turbo）</w:t>
            </w:r>
          </w:p>
        </w:tc>
      </w:tr>
      <w:tr w:rsidR="00D30F65"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OPENAI_API_KEY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可选</w:t>
            </w:r>
          </w:p>
        </w:tc>
        <w:tc>
          <w:tcPr>
            <w:tcW w:w="3024" w:type="dxa"/>
          </w:tcPr>
          <w:p w:rsidR="00D30F65" w:rsidRDefault="00000000">
            <w:r>
              <w:rPr>
                <w:rFonts w:ascii="微软雅黑" w:eastAsia="微软雅黑" w:hAnsi="微软雅黑"/>
              </w:rPr>
              <w:t>Whisper 备选转写</w:t>
            </w:r>
          </w:p>
        </w:tc>
      </w:tr>
    </w:tbl>
    <w:p w:rsidR="00D30F65" w:rsidRDefault="00D30F65"/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十一、步骤 7：数据库迁移与种子数据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在项目根目录依次执行（示例）：</w:t>
      </w:r>
    </w:p>
    <w:p w:rsidR="00D30F65" w:rsidRDefault="00000000">
      <w:pPr>
        <w:pStyle w:val="a"/>
      </w:pPr>
      <w:proofErr w:type="spellStart"/>
      <w:r>
        <w:rPr>
          <w:rFonts w:ascii="Courier New" w:hAnsi="Courier New"/>
        </w:rPr>
        <w:t>npm</w:t>
      </w:r>
      <w:proofErr w:type="spellEnd"/>
      <w:r>
        <w:rPr>
          <w:rFonts w:ascii="Courier New" w:hAnsi="Courier New"/>
        </w:rPr>
        <w:t xml:space="preserve"> ci </w:t>
      </w:r>
      <w:r>
        <w:rPr>
          <w:rFonts w:ascii="Courier New" w:hAnsi="Courier New"/>
        </w:rPr>
        <w:t>或</w:t>
      </w:r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npm</w:t>
      </w:r>
      <w:proofErr w:type="spellEnd"/>
      <w:r>
        <w:rPr>
          <w:rFonts w:ascii="Courier New" w:hAnsi="Courier New"/>
        </w:rPr>
        <w:t xml:space="preserve"> install</w:t>
      </w:r>
    </w:p>
    <w:p w:rsidR="00D30F65" w:rsidRDefault="00000000">
      <w:pPr>
        <w:pStyle w:val="a"/>
      </w:pPr>
      <w:r>
        <w:rPr>
          <w:rFonts w:ascii="Courier New" w:hAnsi="Courier New"/>
        </w:rPr>
        <w:t>npx prisma generate</w:t>
      </w:r>
    </w:p>
    <w:p w:rsidR="00D30F65" w:rsidRDefault="00000000">
      <w:pPr>
        <w:pStyle w:val="a"/>
      </w:pPr>
      <w:r>
        <w:rPr>
          <w:rFonts w:ascii="Courier New" w:hAnsi="Courier New"/>
        </w:rPr>
        <w:t xml:space="preserve">npx prisma migrate deploy   </w:t>
      </w:r>
      <w:r>
        <w:rPr>
          <w:rFonts w:ascii="Courier New" w:hAnsi="Courier New"/>
        </w:rPr>
        <w:t>（生产推荐；将应用迁移到当前库）</w:t>
      </w:r>
    </w:p>
    <w:p w:rsidR="00D30F65" w:rsidRDefault="00000000">
      <w:pPr>
        <w:pStyle w:val="a"/>
        <w:rPr>
          <w:lang w:eastAsia="zh-CN"/>
        </w:rPr>
      </w:pPr>
      <w:r>
        <w:rPr>
          <w:rFonts w:ascii="Courier New" w:hAnsi="Courier New"/>
          <w:lang w:eastAsia="zh-CN"/>
        </w:rPr>
        <w:t>可选：</w:t>
      </w:r>
      <w:proofErr w:type="spellStart"/>
      <w:r>
        <w:rPr>
          <w:rFonts w:ascii="Courier New" w:hAnsi="Courier New"/>
          <w:lang w:eastAsia="zh-CN"/>
        </w:rPr>
        <w:t>npm</w:t>
      </w:r>
      <w:proofErr w:type="spellEnd"/>
      <w:r>
        <w:rPr>
          <w:rFonts w:ascii="Courier New" w:hAnsi="Courier New"/>
          <w:lang w:eastAsia="zh-CN"/>
        </w:rPr>
        <w:t xml:space="preserve"> run </w:t>
      </w:r>
      <w:proofErr w:type="spellStart"/>
      <w:r>
        <w:rPr>
          <w:rFonts w:ascii="Courier New" w:hAnsi="Courier New"/>
          <w:lang w:eastAsia="zh-CN"/>
        </w:rPr>
        <w:t>db:seed</w:t>
      </w:r>
      <w:proofErr w:type="spellEnd"/>
      <w:r>
        <w:rPr>
          <w:rFonts w:ascii="Courier New" w:hAnsi="Courier New"/>
          <w:lang w:eastAsia="zh-CN"/>
        </w:rPr>
        <w:t xml:space="preserve">   </w:t>
      </w:r>
      <w:r>
        <w:rPr>
          <w:rFonts w:ascii="Courier New" w:hAnsi="Courier New"/>
          <w:lang w:eastAsia="zh-CN"/>
        </w:rPr>
        <w:t>（初始化演示账号与基础数据；生产是否执行由贵司决定）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默认演示账号（若执行</w:t>
      </w:r>
      <w:proofErr w:type="spellEnd"/>
      <w:r>
        <w:rPr>
          <w:rFonts w:ascii="微软雅黑" w:eastAsia="微软雅黑" w:hAnsi="微软雅黑"/>
        </w:rPr>
        <w:t xml:space="preserve"> seed）：</w:t>
      </w:r>
      <w:proofErr w:type="spellStart"/>
      <w:r>
        <w:rPr>
          <w:rFonts w:ascii="微软雅黑" w:eastAsia="微软雅黑" w:hAnsi="微软雅黑"/>
        </w:rPr>
        <w:t>主管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tianmanager</w:t>
      </w:r>
      <w:proofErr w:type="spellEnd"/>
      <w:r>
        <w:rPr>
          <w:rFonts w:ascii="微软雅黑" w:eastAsia="微软雅黑" w:hAnsi="微软雅黑"/>
        </w:rPr>
        <w:t xml:space="preserve"> / demo12345；销售 zhoulan、xuning / demo12345。首次使用默认密码登录后，系统会要求修改密码后方可进入工作台。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十二、步骤 8：知识库向量全量重算（启用 Embedding 后）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在已配置 ARK_EMBEDDING_MODEL 且数据库中已有历史知识库切片的情况下，建议执行一次全量向量重算，避免新旧向量模型混用：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  <w:b/>
        </w:rPr>
        <w:t>npm run db:reembed-knowledge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该命令会批量调用方舟 Embedding API，耗时与文档量、网络有关；请在业务低峰执行并观察控制台日志。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十三、步骤 9：构建与启动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生产构建：npm</w:t>
      </w:r>
      <w:proofErr w:type="spellEnd"/>
      <w:r>
        <w:rPr>
          <w:rFonts w:ascii="微软雅黑" w:eastAsia="微软雅黑" w:hAnsi="微软雅黑"/>
        </w:rPr>
        <w:t xml:space="preserve"> run build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lastRenderedPageBreak/>
        <w:t>生产启动：npm run start（默认监听 3000；可通过环境变量 PORT 或启动参数指定端口，例如 3001）。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建议使用 PM2 或 systemd 守护进程，保证崩溃自启。示例（PM2）：pm2 start npm --name insight2sale -- start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须在反向代理（Nginx）将 HTTPS 443 转发到本机 Node 端口；配置较大的 client_max_body_size 以支持知识库 PDF 上传（例如 32m 量级，与 next.config 中 serverActions 限制一致）。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十四、步骤 10：持久化目录（录音与上传）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通话录音文件存储在服务器项目目录下</w:t>
      </w:r>
      <w:proofErr w:type="spellEnd"/>
      <w:r>
        <w:rPr>
          <w:rFonts w:ascii="微软雅黑" w:eastAsia="微软雅黑" w:hAnsi="微软雅黑"/>
        </w:rPr>
        <w:t xml:space="preserve"> storage/call-recordings/；</w:t>
      </w:r>
      <w:proofErr w:type="spellStart"/>
      <w:r>
        <w:rPr>
          <w:rFonts w:ascii="微软雅黑" w:eastAsia="微软雅黑" w:hAnsi="微软雅黑"/>
        </w:rPr>
        <w:t>知识库等上传文件亦有</w:t>
      </w:r>
      <w:proofErr w:type="spellEnd"/>
      <w:r>
        <w:rPr>
          <w:rFonts w:ascii="微软雅黑" w:eastAsia="微软雅黑" w:hAnsi="微软雅黑"/>
        </w:rPr>
        <w:t xml:space="preserve"> storage </w:t>
      </w:r>
      <w:proofErr w:type="spellStart"/>
      <w:r>
        <w:rPr>
          <w:rFonts w:ascii="微软雅黑" w:eastAsia="微软雅黑" w:hAnsi="微软雅黑"/>
        </w:rPr>
        <w:t>下路径。请确保该目录在磁盘上持久化（容器部署时需挂载卷</w:t>
      </w:r>
      <w:proofErr w:type="spellEnd"/>
      <w:r>
        <w:rPr>
          <w:rFonts w:ascii="微软雅黑" w:eastAsia="微软雅黑" w:hAnsi="微软雅黑"/>
        </w:rPr>
        <w:t>），并纳入贵司备份策略。不要将 storage 提交到 Git。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十五、步骤 11：验收清单（建议逐项打勾）</w:t>
      </w:r>
    </w:p>
    <w:p w:rsidR="00D30F65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浏览器通过 https://贵司域名 可打开登录页，且与 AUTH_URL 一致。</w:t>
      </w:r>
    </w:p>
    <w:p w:rsidR="00D30F65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可使用账号登录并进入工作台（新账号完成强制改密流程）。</w:t>
      </w:r>
    </w:p>
    <w:p w:rsidR="00D30F65" w:rsidRDefault="00000000">
      <w:pPr>
        <w:pStyle w:val="a0"/>
      </w:pPr>
      <w:proofErr w:type="spellStart"/>
      <w:r>
        <w:rPr>
          <w:rFonts w:ascii="微软雅黑" w:eastAsia="微软雅黑" w:hAnsi="微软雅黑"/>
        </w:rPr>
        <w:t>知识库上传</w:t>
      </w:r>
      <w:proofErr w:type="spellEnd"/>
      <w:r>
        <w:rPr>
          <w:rFonts w:ascii="微软雅黑" w:eastAsia="微软雅黑" w:hAnsi="微软雅黑"/>
        </w:rPr>
        <w:t xml:space="preserve"> PDF </w:t>
      </w:r>
      <w:proofErr w:type="spellStart"/>
      <w:r>
        <w:rPr>
          <w:rFonts w:ascii="微软雅黑" w:eastAsia="微软雅黑" w:hAnsi="微软雅黑"/>
        </w:rPr>
        <w:t>后能完成向量化（已配置</w:t>
      </w:r>
      <w:proofErr w:type="spellEnd"/>
      <w:r>
        <w:rPr>
          <w:rFonts w:ascii="微软雅黑" w:eastAsia="微软雅黑" w:hAnsi="微软雅黑"/>
        </w:rPr>
        <w:t xml:space="preserve"> ARK_EMBEDDING_MODEL）。</w:t>
      </w:r>
    </w:p>
    <w:p w:rsidR="00D30F65" w:rsidRDefault="00000000">
      <w:pPr>
        <w:pStyle w:val="a0"/>
      </w:pPr>
      <w:r>
        <w:rPr>
          <w:rFonts w:ascii="微软雅黑" w:eastAsia="微软雅黑" w:hAnsi="微软雅黑"/>
        </w:rPr>
        <w:t>解读台录音上传后，转写任务可完成（已配置 VOLC_SPEECH 或备选 Whisper）。</w:t>
      </w:r>
    </w:p>
    <w:p w:rsidR="00D30F65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服务器重启后服务自动恢复，录音与数据库数据不丢失。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十六、常见问题与排查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登录失败或回调异常：检查 AUTH_URL、NEXTAUTH_URL 是否与浏览器地址完全一致，含协议与端口。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知识库检索结果异常或为空：确认</w:t>
      </w:r>
      <w:proofErr w:type="spellEnd"/>
      <w:r>
        <w:rPr>
          <w:rFonts w:ascii="微软雅黑" w:eastAsia="微软雅黑" w:hAnsi="微软雅黑"/>
        </w:rPr>
        <w:t xml:space="preserve"> ARK_EMBEDDING_MODEL </w:t>
      </w:r>
      <w:proofErr w:type="spellStart"/>
      <w:r>
        <w:rPr>
          <w:rFonts w:ascii="微软雅黑" w:eastAsia="微软雅黑" w:hAnsi="微软雅黑"/>
        </w:rPr>
        <w:t>已配置且已执行重算；检查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embeddingModel</w:t>
      </w:r>
      <w:proofErr w:type="spellEnd"/>
      <w:r>
        <w:rPr>
          <w:rFonts w:ascii="微软雅黑" w:eastAsia="微软雅黑" w:hAnsi="微软雅黑"/>
        </w:rPr>
        <w:t xml:space="preserve"> 是否与当前接入点一致。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向量请求超时：尝试增大 ARK_EMBEDDING_TIMEOUT_MS 或 ARK_TIMEOUT_MS；检查服务器出网与方舟配额。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lastRenderedPageBreak/>
        <w:t>录音无法转写：检查 VOLC_SPEECH 密钥与资源 ID；查看 CallRecording 表中 processingError。</w:t>
      </w:r>
    </w:p>
    <w:p w:rsidR="00D30F65" w:rsidRDefault="00000000">
      <w:pPr>
        <w:pStyle w:val="1"/>
      </w:pPr>
      <w:r>
        <w:rPr>
          <w:rFonts w:ascii="微软雅黑" w:eastAsia="微软雅黑" w:hAnsi="微软雅黑"/>
        </w:rPr>
        <w:t>十七、安全与合规建议</w:t>
      </w:r>
    </w:p>
    <w:p w:rsidR="00D30F65" w:rsidRDefault="00000000">
      <w:pPr>
        <w:spacing w:after="120"/>
      </w:pPr>
      <w:r>
        <w:rPr>
          <w:rFonts w:ascii="微软雅黑" w:eastAsia="微软雅黑" w:hAnsi="微软雅黑"/>
        </w:rPr>
        <w:t>定期更新系统补丁；限制 SSH 与数据库暴露面；密钥仅保存在服务器权限受限文件中；生产数据库定期备份；对家长与销售数据按贵司合规要求留存与脱敏。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十八、可选：知识库 PDF OCR（扫描件 / 图片内文字）</w:t>
      </w:r>
    </w:p>
    <w:p w:rsidR="00D30F65" w:rsidRDefault="00000000">
      <w:pPr>
        <w:spacing w:after="12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若知识库上传的 PDF 含扫描页或图片内文字，服务器需安装 Tesseract OCR（中英语言包）。可通过环境变量 PDF_OCR_DISABLE、PDF_OCR_MODE（hybrid / full）、PDF_OCR_MAX_PAGES 等调节行为，详见仓库根目录 .</w:t>
      </w:r>
      <w:proofErr w:type="spellStart"/>
      <w:r>
        <w:rPr>
          <w:rFonts w:ascii="微软雅黑" w:eastAsia="微软雅黑" w:hAnsi="微软雅黑"/>
          <w:lang w:eastAsia="zh-CN"/>
        </w:rPr>
        <w:t>env.example</w:t>
      </w:r>
      <w:proofErr w:type="spellEnd"/>
      <w:r>
        <w:rPr>
          <w:rFonts w:ascii="微软雅黑" w:eastAsia="微软雅黑" w:hAnsi="微软雅黑"/>
          <w:lang w:eastAsia="zh-CN"/>
        </w:rPr>
        <w:t xml:space="preserve"> 注释。</w:t>
      </w:r>
    </w:p>
    <w:p w:rsidR="00D30F6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十九、附录：与内部设计文档的对应关系</w:t>
      </w:r>
    </w:p>
    <w:p w:rsidR="00D30F65" w:rsidRDefault="00000000">
      <w:pPr>
        <w:spacing w:after="120"/>
      </w:pPr>
      <w:proofErr w:type="spellStart"/>
      <w:r>
        <w:rPr>
          <w:rFonts w:ascii="微软雅黑" w:eastAsia="微软雅黑" w:hAnsi="微软雅黑"/>
        </w:rPr>
        <w:t>更细的产品与技术设计见交付仓库内</w:t>
      </w:r>
      <w:proofErr w:type="spellEnd"/>
      <w:r>
        <w:rPr>
          <w:rFonts w:ascii="微软雅黑" w:eastAsia="微软雅黑" w:hAnsi="微软雅黑"/>
        </w:rPr>
        <w:t xml:space="preserve"> docs/design/</w:t>
      </w:r>
      <w:proofErr w:type="spellStart"/>
      <w:r>
        <w:rPr>
          <w:rFonts w:ascii="微软雅黑" w:eastAsia="微软雅黑" w:hAnsi="微软雅黑"/>
        </w:rPr>
        <w:t>system-design.md；通话录音见</w:t>
      </w:r>
      <w:proofErr w:type="spellEnd"/>
      <w:r>
        <w:rPr>
          <w:rFonts w:ascii="微软雅黑" w:eastAsia="微软雅黑" w:hAnsi="微软雅黑"/>
        </w:rPr>
        <w:t xml:space="preserve"> §27；知识库向量见 §28。本文面向部署执行，不替代设计文档。</w:t>
      </w:r>
    </w:p>
    <w:p w:rsidR="00D30F65" w:rsidRDefault="00D30F65"/>
    <w:p w:rsidR="00D30F65" w:rsidRDefault="00000000">
      <w:pPr>
        <w:jc w:val="center"/>
      </w:pPr>
      <w:r>
        <w:rPr>
          <w:rFonts w:ascii="微软雅黑" w:eastAsia="微软雅黑" w:hAnsi="微软雅黑"/>
          <w:sz w:val="18"/>
        </w:rPr>
        <w:t>— 文档结束 —</w:t>
      </w:r>
      <w:r>
        <w:rPr>
          <w:rFonts w:ascii="微软雅黑" w:eastAsia="微软雅黑" w:hAnsi="微软雅黑"/>
          <w:sz w:val="18"/>
        </w:rPr>
        <w:br/>
        <w:t>Insight2Sale v1.0.0</w:t>
      </w:r>
    </w:p>
    <w:sectPr w:rsidR="00D30F65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989425">
    <w:abstractNumId w:val="8"/>
  </w:num>
  <w:num w:numId="2" w16cid:durableId="1436051376">
    <w:abstractNumId w:val="6"/>
  </w:num>
  <w:num w:numId="3" w16cid:durableId="908072533">
    <w:abstractNumId w:val="5"/>
  </w:num>
  <w:num w:numId="4" w16cid:durableId="1493716187">
    <w:abstractNumId w:val="4"/>
  </w:num>
  <w:num w:numId="5" w16cid:durableId="1529299606">
    <w:abstractNumId w:val="7"/>
  </w:num>
  <w:num w:numId="6" w16cid:durableId="2048212627">
    <w:abstractNumId w:val="3"/>
  </w:num>
  <w:num w:numId="7" w16cid:durableId="1975594523">
    <w:abstractNumId w:val="2"/>
  </w:num>
  <w:num w:numId="8" w16cid:durableId="1460102255">
    <w:abstractNumId w:val="1"/>
  </w:num>
  <w:num w:numId="9" w16cid:durableId="163591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65"/>
    <w:rsid w:val="0015074B"/>
    <w:rsid w:val="0029639D"/>
    <w:rsid w:val="00326F90"/>
    <w:rsid w:val="0076446D"/>
    <w:rsid w:val="00AA1D8D"/>
    <w:rsid w:val="00AD2B6B"/>
    <w:rsid w:val="00B47730"/>
    <w:rsid w:val="00CB0664"/>
    <w:rsid w:val="00D30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FE348"/>
  <w14:defaultImageDpi w14:val="300"/>
  <w15:docId w15:val="{CC20D0A8-6034-E947-A52E-8D3DCBE8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2026-04-15T08:09:00Z</dcterms:modified>
  <cp:category/>
</cp:coreProperties>
</file>