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Override PartName="/word/media/rId29.png" ContentType="image/png"/>
  <Override PartName="/word/media/rId31.png" ContentType="image/png"/>
  <Override PartName="/word/media/rId32.png" ContentType="image/png"/>
  <Override PartName="/word/media/rId24.png" ContentType="image/png"/>
  <Override PartName="/word/media/rId26.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hods-results"/>
      <w:r>
        <w:t xml:space="preserve">Methods &amp; Results</w:t>
      </w:r>
      <w:bookmarkEnd w:id="20"/>
    </w:p>
    <w:p>
      <w:pPr>
        <w:pStyle w:val="FirstParagraph"/>
      </w:pPr>
      <w:r>
        <w:t xml:space="preserve">Methods &amp; Results</w:t>
      </w:r>
      <w:r>
        <w:t xml:space="preserve"> </w:t>
      </w:r>
      <w:r>
        <w:t xml:space="preserve">Satellite data</w:t>
      </w:r>
      <w:r>
        <w:t xml:space="preserve"> </w:t>
      </w:r>
      <w:r>
        <w:t xml:space="preserve">For this study, two daily satellite sea surface temperature (SST) products were used. In both cases, data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w:t>
      </w:r>
      <w:r>
        <w:t xml:space="preserve"> </w:t>
      </w:r>
      <w:r>
        <w:t xml:space="preserve">Both of the SST products provide gap-free data each day. The MUR SST data set is provided by JPL NASA (JPL MUR MEaSUREs Project. 2015) and is available from June 2002 - present and are accessed via the NOAA CoastWatch West Coast Node ERDDAP server (coastwatch.pfeg.noaa.gov/erddap/griddap/jplMURSST41.html). These data are provided across a 0.01° x 0.01° (1 km) spatial grid. Meanwhile, the CRW SST data set covers a 0.05° x 0.05° (5 km) spatial grid and these data are obtained from the NOAA Coral Reef Watch Program (</w:t>
      </w:r>
      <w:hyperlink r:id="rId21">
        <w:r>
          <w:rPr>
            <w:rStyle w:val="Hyperlink"/>
          </w:rPr>
          <w:t xml:space="preserve">https://coralreefwatch.noaa.gov/product/5km/index_5km_sst.php</w:t>
        </w:r>
      </w:hyperlink>
      <w:r>
        <w:t xml:space="preserve">) through the NOAA PacIOOS Program ERDDAP server (pae-paha.pacioos.hawaii.edu/erddap/griddap/dhw_5km.html) from April 1985 – present. Additional data (January – March 1985) were downloaded via public ftp link from NESDIS (</w:t>
      </w:r>
      <w:hyperlink r:id="rId22">
        <w:r>
          <w:rPr>
            <w:rStyle w:val="Hyperlink"/>
          </w:rPr>
          <w:t xml:space="preserve">ftp://ftp.star.nesdis.noaa.gov/pub/socd/mecb/crw/data/coraltemp/v1.0/nc/1985/</w:t>
        </w:r>
      </w:hyperlink>
      <w:r>
        <w:t xml:space="preserve">). Both the MUR and CRW data sets typically have a 1-2 day latency period.</w:t>
      </w:r>
      <w:r>
        <w:t xml:space="preserve"> </w:t>
      </w:r>
      <w:r>
        <w:t xml:space="preserve">Both the MUR and the CRW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w:t>
      </w:r>
    </w:p>
    <w:p>
      <w:pPr>
        <w:pStyle w:val="BodyText"/>
      </w:pPr>
      <w:r>
        <w:t xml:space="preserve">Figure YY: AKFIN data flow diagram</w:t>
      </w:r>
    </w:p>
    <w:p>
      <w:pPr>
        <w:pStyle w:val="BodyText"/>
      </w:pPr>
      <w: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r>
        <w:t xml:space="preserve"> </w:t>
      </w:r>
      <w:r>
        <w:t xml:space="preserve">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St. Matthew blue king crab management areas) (Fig. YY). The spatial extent of Alaska includes more than 200,000 data records daily for the CRW data set and more than 1 million records daily for the MUR data set.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to the spatial strata in which it falls instead of via repeated point-in-polygon operations.</w:t>
      </w:r>
    </w:p>
    <w:p>
      <w:pPr>
        <w:pStyle w:val="BodyText"/>
      </w:pPr>
      <w:r>
        <w:t xml:space="preserve">Accessing the data</w:t>
      </w:r>
      <w:r>
        <w:t xml:space="preserve"> </w:t>
      </w:r>
      <w:r>
        <w:t xml:space="preserve">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w:t>
      </w:r>
      <w:r>
        <w:t xml:space="preserve"> </w:t>
      </w:r>
      <w:r>
        <w:t xml:space="preserve">In the sections that follow, we demonstrate data queries using custom web services and by using direct SQL and R access. For each case, we illustrate the utility of operational data workflows by piping these data into R functions for calculating marine heatwaves (MHWs).</w:t>
      </w:r>
      <w:r>
        <w:t xml:space="preserve"> </w:t>
      </w:r>
      <w:r>
        <w:t xml:space="preserve">Customized Web Service (Web API)</w:t>
      </w:r>
      <w:r>
        <w:t xml:space="preserve"> </w:t>
      </w:r>
      <w:r>
        <w:t xml:space="preserve">For queries that are likely to be repeated often or to become part of an automated process, customized web services offer a particularly efficient data access option. Note that the queries demonstrated here are simply examples, but additional customized queries can be developed for users by contacting this study’s authors. These web services require no accounts, no passwords, no VPN - just internet. For example, a user could type the url</w:t>
      </w:r>
      <w:r>
        <w:t xml:space="preserve"> </w:t>
      </w:r>
      <w:hyperlink r:id="rId23">
        <w:r>
          <w:rPr>
            <w:rStyle w:val="Hyperlink"/>
          </w:rPr>
          <w:t xml:space="preserve">https://apex.psmfc.org/akfin/data_marts/akmp/nmfs_area_crw_avg_sst?nmfs_area=640</w:t>
        </w:r>
      </w:hyperlink>
      <w:r>
        <w:t xml:space="preserve"> </w:t>
      </w:r>
      <w:r>
        <w:t xml:space="preserve">into a web browser and they will be served with the most recent day’s average SST data for NMFS area 640. Such urls can be readily embedded into programming applications (e.g., R, Python) and for multiple or different spatial strata as well as for specified time series. An additional convenience is that web services allow users to query time series without storing data locally which is particularly helpful for operations that would typically append data to existing files.</w:t>
      </w:r>
      <w:r>
        <w:t xml:space="preserve"> </w:t>
      </w:r>
      <w:r>
        <w:t xml:space="preserve">To access web services using R Statistical Software, you will need the R package</w:t>
      </w:r>
      <w:r>
        <w:t xml:space="preserve"> </w:t>
      </w:r>
      <w:r>
        <w:rPr>
          <w:b/>
        </w:rPr>
        <w:t xml:space="preserve">httr</w:t>
      </w:r>
      <w:r>
        <w:t xml:space="preserve"> </w:t>
      </w:r>
      <w:r>
        <w:t xml:space="preserve">to pull data from a URL. Additional packages</w:t>
      </w:r>
      <w:r>
        <w:t xml:space="preserve"> </w:t>
      </w:r>
      <w:r>
        <w:rPr>
          <w:b/>
        </w:rPr>
        <w:t xml:space="preserve">tidyverse</w:t>
      </w:r>
      <w:r>
        <w:t xml:space="preserve"> </w:t>
      </w:r>
      <w:r>
        <w:t xml:space="preserve">and</w:t>
      </w:r>
      <w:r>
        <w:t xml:space="preserve"> </w:t>
      </w:r>
      <w:r>
        <w:rPr>
          <w:b/>
        </w:rPr>
        <w:t xml:space="preserve">lubridate</w:t>
      </w:r>
      <w:r>
        <w:t xml:space="preserve"> </w:t>
      </w:r>
      <w:r>
        <w:t xml:space="preserve">are used here to demonstrate plotting and manipulation but the object retrieved using</w:t>
      </w:r>
      <w:r>
        <w:t xml:space="preserve"> </w:t>
      </w:r>
      <w:r>
        <w:rPr>
          <w:b/>
        </w:rPr>
        <w:t xml:space="preserve">httr</w:t>
      </w:r>
      <w:r>
        <w:t xml:space="preserve"> </w:t>
      </w:r>
      <w:r>
        <w:t xml:space="preserve">can easily be manipulated using base R instead.</w:t>
      </w:r>
    </w:p>
    <w:p>
      <w:pPr>
        <w:pStyle w:val="BodyText"/>
      </w:pPr>
      <w:r>
        <w:t xml:space="preserve">Data extraction using this AKFIN web service is as simple as the statement below, which will query the time series of daily temperatures for NMFS area 640. The data can be saved as an object for manipulation or piped directly into downstream functions. If you prefer base R instead of the tidyverse, you will still need to load</w:t>
      </w:r>
      <w:r>
        <w:t xml:space="preserve"> </w:t>
      </w:r>
      <w:r>
        <w:rPr>
          <w:b/>
        </w:rPr>
        <w:t xml:space="preserve">dplyr</w:t>
      </w:r>
      <w:r>
        <w:t xml:space="preserve"> </w:t>
      </w:r>
      <w:r>
        <w:t xml:space="preserve">for the bind_rows() function to work. Alternatively, you’ll need a base R solution to reformat the input data.</w:t>
      </w:r>
    </w:p>
    <w:p>
      <w:pPr>
        <w:pStyle w:val="SourceCode"/>
      </w:pP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br w:type="textWrapping"/>
      </w:r>
      <w:r>
        <w:rPr>
          <w:rStyle w:val="KeywordTok"/>
        </w:rPr>
        <w:t xml:space="preserve">head</w:t>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With this tool, users can easily incorporate SST data into stock assessments and other processes. For example, one could plot a time series of average summer SST for NMFS areas 640 and 650.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from the date</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the data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5544151" cy="3696101"/>
            <wp:effectExtent b="0" l="0" r="0" t="0"/>
            <wp:docPr descr="June-August SST 1985-2020 in EGOA NMFS areas." title="" id="1" name="Picture"/>
            <a:graphic>
              <a:graphicData uri="http://schemas.openxmlformats.org/drawingml/2006/picture">
                <pic:pic>
                  <pic:nvPicPr>
                    <pic:cNvPr descr="4_methods_results_files/figure-docx/unnamed-chunk-3-1.png" id="0" name="Picture"/>
                    <pic:cNvPicPr>
                      <a:picLocks noChangeArrowheads="1" noChangeAspect="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June-August SST 1985-2020 in EGOA NMFS areas.</w:t>
      </w:r>
    </w:p>
    <w:p>
      <w:pPr>
        <w:pStyle w:val="BodyText"/>
      </w:pPr>
      <w:r>
        <w:t xml:space="preserve">Currently, daily mean SST for each NMFS area can only be queried individually. For the Bering Sea and Gulf of Alaska, the query filters only data where water depth is between 10 and 200m. For the Aleutian Islands, a depth filter is not implemented. Analysts that are interested in data for different depth ranges, custom spatial bounds, or aggregated NMFS areas can contact the authors and we will arrange for your request.</w:t>
      </w:r>
    </w:p>
    <w:p>
      <w:pPr>
        <w:pStyle w:val="BodyText"/>
      </w:pPr>
      <w:r>
        <w:t xml:space="preserve">The web service enables a query using a URL, where the URL the query parameters. You could paste the URL below into a browser and view the output there if desired. Below, we query the URL</w:t>
      </w:r>
      <w:r>
        <w:t xml:space="preserve"> </w:t>
      </w:r>
      <w:r>
        <w:t xml:space="preserve">“</w:t>
      </w:r>
      <w:hyperlink r:id="rId23">
        <w:r>
          <w:rPr>
            <w:rStyle w:val="Hyperlink"/>
          </w:rPr>
          <w:t xml:space="preserve">https://apex.psmfc.org/akfin/data_marts/akmp/nmfs_area_crw_avg_sst?nmfs_area=640</w:t>
        </w:r>
      </w:hyperlink>
      <w:r>
        <w:t xml:space="preserve">”</w:t>
      </w:r>
      <w:r>
        <w:t xml:space="preserve">, where</w:t>
      </w:r>
      <w:r>
        <w:t xml:space="preserve"> </w:t>
      </w:r>
      <w:r>
        <w:t xml:space="preserve">“</w:t>
      </w:r>
      <w:r>
        <w:t xml:space="preserve">nmfs_area_crw_avg_sst?</w:t>
      </w:r>
      <w:r>
        <w:t xml:space="preserve">”</w:t>
      </w:r>
      <w:r>
        <w:t xml:space="preserve"> </w:t>
      </w:r>
      <w:r>
        <w:t xml:space="preserve">is the name of the dataset. This is the daily SST data averaged by</w:t>
      </w:r>
      <w:r>
        <w:t xml:space="preserve"> </w:t>
      </w:r>
      <w:r>
        <w:rPr>
          <w:b/>
        </w:rPr>
        <w:t xml:space="preserve">nmfs_area</w:t>
      </w:r>
      <w:r>
        <w:t xml:space="preserve">. A</w:t>
      </w:r>
      <w:r>
        <w:t xml:space="preserve"> </w:t>
      </w:r>
      <w:r>
        <w:t xml:space="preserve">“</w:t>
      </w:r>
      <w:r>
        <w:t xml:space="preserve">?</w:t>
      </w:r>
      <w:r>
        <w:t xml:space="preserve">”</w:t>
      </w:r>
      <w:r>
        <w:t xml:space="preserve"> </w:t>
      </w:r>
      <w:r>
        <w:t xml:space="preserve">separates the dataset name from the query criteria. The default behavior is to pull the single most recent datum record. Here we tell R that the native format is json.</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SourceCode"/>
      </w:pPr>
      <w:r>
        <w:rPr>
          <w:rStyle w:val="CommentTok"/>
        </w:rPr>
        <w:t xml:space="preserve">#By default the URL returns a list. We use "%&gt;% bind_rows" here to convert to a data frame (tibble)</w:t>
      </w:r>
    </w:p>
    <w:p>
      <w:pPr>
        <w:pStyle w:val="Heading1"/>
      </w:pPr>
      <w:bookmarkStart w:id="25" w:name="time-series"/>
      <w:r>
        <w:t xml:space="preserve">Time Series</w:t>
      </w:r>
      <w:bookmarkEnd w:id="25"/>
    </w:p>
    <w:p>
      <w:pPr>
        <w:pStyle w:val="FirstParagraph"/>
      </w:pPr>
      <w:r>
        <w:t xml:space="preserve">To query a date range,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w:t>
      </w:r>
      <w:r>
        <w:t xml:space="preserve"> </w:t>
      </w:r>
      <w:r>
        <w:t xml:space="preserve">“</w:t>
      </w:r>
      <w:r>
        <w:t xml:space="preserve">read_date</w:t>
      </w:r>
      <w:r>
        <w:t xml:space="preserve">”</w:t>
      </w:r>
      <w:r>
        <w:t xml:space="preserve">, or</w:t>
      </w:r>
      <w:r>
        <w:t xml:space="preserve"> </w:t>
      </w:r>
      <w:r>
        <w:t xml:space="preserve">“</w:t>
      </w:r>
      <w:r>
        <w:t xml:space="preserve">dates_back</w:t>
      </w:r>
      <w:r>
        <w:t xml:space="preserve">”</w:t>
      </w:r>
      <w:r>
        <w:t xml:space="preserve"> </w:t>
      </w:r>
      <w:r>
        <w:t xml:space="preserve">parameters. Separate parameters with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head</w:t>
      </w:r>
      <w:r>
        <w:rPr>
          <w:rStyle w:val="NormalTok"/>
        </w:rPr>
        <w:t xml:space="preserve">(data)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The full time series yields more than 13,000 rows of data per area (i.e., daily data from 1985-01-01 to present).</w:t>
      </w:r>
    </w:p>
    <w:p>
      <w:pPr>
        <w:pStyle w:val="SourceCode"/>
      </w:pPr>
      <w:r>
        <w:rPr>
          <w:rStyle w:val="KeywordTok"/>
        </w:rPr>
        <w:t xml:space="preserve">dim</w:t>
      </w:r>
      <w:r>
        <w:rPr>
          <w:rStyle w:val="NormalTok"/>
        </w:rPr>
        <w:t xml:space="preserve">(data)</w:t>
      </w:r>
    </w:p>
    <w:p>
      <w:pPr>
        <w:pStyle w:val="SourceCode"/>
      </w:pPr>
      <w:r>
        <w:rPr>
          <w:rStyle w:val="VerbatimChar"/>
        </w:rPr>
        <w:t xml:space="preserve">## [1] 13307     5</w:t>
      </w:r>
    </w:p>
    <w:p>
      <w:pPr>
        <w:pStyle w:val="FirstParagraph"/>
      </w:pPr>
      <w:r>
        <w:t xml:space="preserve">Any time range can be chosen with</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For example, SST in NMFS area 640 in 1987.</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5544151" cy="3696101"/>
            <wp:effectExtent b="0" l="0" r="0" t="0"/>
            <wp:docPr descr="SST for 1987 in NMFS area 640." title="" id="1" name="Picture"/>
            <a:graphic>
              <a:graphicData uri="http://schemas.openxmlformats.org/drawingml/2006/picture">
                <pic:pic>
                  <pic:nvPicPr>
                    <pic:cNvPr descr="4_methods_results_files/figure-docx/unnamed-chunk-7-1.png" id="0"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SST for 1987 in NMFS area 640.</w:t>
      </w:r>
    </w:p>
    <w:p>
      <w:pPr>
        <w:pStyle w:val="BodyText"/>
      </w:pPr>
      <w:r>
        <w:t xml:space="preserve">You can query a specific date with</w:t>
      </w:r>
      <w:r>
        <w:t xml:space="preserve"> </w:t>
      </w:r>
      <w:r>
        <w:t xml:space="preserve">“</w:t>
      </w:r>
      <w:r>
        <w:t xml:space="preserve">read_date</w:t>
      </w:r>
      <w:r>
        <w:t xml:space="preserve">”</w:t>
      </w:r>
      <w:r>
        <w:t xml:space="preserve">. For example SST in MFS 640 on Y2K.</w:t>
      </w:r>
    </w:p>
    <w:p>
      <w:pPr>
        <w:pStyle w:val="SourceCode"/>
      </w:pPr>
      <w:r>
        <w:rPr>
          <w:rStyle w:val="CommentTok"/>
        </w:rPr>
        <w:t xml:space="preserve">#Query the day after your date of interest because omitting the time component in read_date misses that day's reading.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You can specify a number of days prior to any date using a</w:t>
      </w:r>
      <w:r>
        <w:t xml:space="preserve"> </w:t>
      </w:r>
      <w:r>
        <w:t xml:space="preserve">“</w:t>
      </w:r>
      <w:r>
        <w:t xml:space="preserve">days_back</w:t>
      </w:r>
      <w:r>
        <w:t xml:space="preserve">”</w:t>
      </w:r>
      <w:r>
        <w:t xml:space="preserve"> </w:t>
      </w:r>
      <w:r>
        <w:t xml:space="preserve">parameter specification. For example the three days before Y2K.</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 Here are SSTs for the last three days in NMFS 640.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8.20</w:t>
            </w:r>
          </w:p>
        </w:tc>
        <w:tc>
          <w:p>
            <w:pPr>
              <w:pStyle w:val="Compact"/>
              <w:jc w:val="left"/>
            </w:pPr>
            <w:r>
              <w:t xml:space="preserve">640</w:t>
            </w:r>
          </w:p>
        </w:tc>
        <w:tc>
          <w:p>
            <w:pPr>
              <w:pStyle w:val="Compact"/>
              <w:jc w:val="left"/>
            </w:pPr>
            <w:r>
              <w:t xml:space="preserve">2021-06-05T12:00:00Z</w:t>
            </w:r>
          </w:p>
        </w:tc>
        <w:tc>
          <w:p>
            <w:pPr>
              <w:pStyle w:val="Compact"/>
              <w:jc w:val="left"/>
            </w:pPr>
            <w:r>
              <w:t xml:space="preserve">2021</w:t>
            </w:r>
          </w:p>
        </w:tc>
        <w:tc>
          <w:p>
            <w:pPr>
              <w:pStyle w:val="Compact"/>
              <w:jc w:val="left"/>
            </w:pPr>
            <w:r>
              <w:t xml:space="preserve">156</w:t>
            </w:r>
          </w:p>
        </w:tc>
      </w:tr>
      <w:tr>
        <w:tc>
          <w:p>
            <w:pPr>
              <w:pStyle w:val="Compact"/>
              <w:jc w:val="right"/>
            </w:pPr>
            <w:r>
              <w:t xml:space="preserve">8.34</w:t>
            </w:r>
          </w:p>
        </w:tc>
        <w:tc>
          <w:p>
            <w:pPr>
              <w:pStyle w:val="Compact"/>
              <w:jc w:val="left"/>
            </w:pPr>
            <w:r>
              <w:t xml:space="preserve">640</w:t>
            </w:r>
          </w:p>
        </w:tc>
        <w:tc>
          <w:p>
            <w:pPr>
              <w:pStyle w:val="Compact"/>
              <w:jc w:val="left"/>
            </w:pPr>
            <w:r>
              <w:t xml:space="preserve">2021-06-06T12:00:00Z</w:t>
            </w:r>
          </w:p>
        </w:tc>
        <w:tc>
          <w:p>
            <w:pPr>
              <w:pStyle w:val="Compact"/>
              <w:jc w:val="left"/>
            </w:pPr>
            <w:r>
              <w:t xml:space="preserve">2021</w:t>
            </w:r>
          </w:p>
        </w:tc>
        <w:tc>
          <w:p>
            <w:pPr>
              <w:pStyle w:val="Compact"/>
              <w:jc w:val="left"/>
            </w:pPr>
            <w:r>
              <w:t xml:space="preserve">157</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Heading1"/>
      </w:pPr>
      <w:bookmarkStart w:id="27" w:name="spatial-extents"/>
      <w:r>
        <w:t xml:space="preserve">Spatial Extents</w:t>
      </w:r>
      <w:bookmarkEnd w:id="27"/>
    </w:p>
    <w:p>
      <w:pPr>
        <w:pStyle w:val="FirstParagraph"/>
      </w:pPr>
      <w:r>
        <w:t xml:space="preserve">To query multiple areas, separate the values by a comma. For example to query NMFS areas 640 and 650 (Southeast Alaska outside waters).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r>
        <w:tc>
          <w:p>
            <w:pPr>
              <w:pStyle w:val="Compact"/>
              <w:jc w:val="right"/>
            </w:pPr>
            <w:r>
              <w:t xml:space="preserve">9.08</w:t>
            </w:r>
          </w:p>
        </w:tc>
        <w:tc>
          <w:p>
            <w:pPr>
              <w:pStyle w:val="Compact"/>
              <w:jc w:val="left"/>
            </w:pPr>
            <w:r>
              <w:t xml:space="preserve">650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BodyText"/>
      </w:pPr>
      <w:r>
        <w:t xml:space="preserve">The</w:t>
      </w:r>
      <w:r>
        <w:t xml:space="preserve"> </w:t>
      </w:r>
      <w:r>
        <w:rPr>
          <w:b/>
        </w:rPr>
        <w:t xml:space="preserve">Ecosystem_sub</w:t>
      </w:r>
      <w:r>
        <w:t xml:space="preserve"> </w:t>
      </w:r>
      <w:r>
        <w:t xml:space="preserve">fields available for query include the regions within the Eastern Bering Sea, Aleutian Islands, and Gulf of Alaska.</w:t>
      </w:r>
    </w:p>
    <w:p>
      <w:pPr>
        <w:pStyle w:val="SourceCode"/>
      </w:pPr>
      <w:r>
        <w:rPr>
          <w:rStyle w:val="CommentTok"/>
        </w:rPr>
        <w:t xml:space="preserve">#View strata included in the lookup table</w:t>
      </w:r>
      <w:r>
        <w:br w:type="textWrapping"/>
      </w: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t xml:space="preserve">To query the data for the</w:t>
      </w:r>
      <w:r>
        <w:t xml:space="preserve"> </w:t>
      </w:r>
      <w:r>
        <w:t xml:space="preserve">“</w:t>
      </w:r>
      <w:r>
        <w:t xml:space="preserve">Southeastern Bering Sea</w:t>
      </w:r>
      <w:r>
        <w:t xml:space="preserve">”</w:t>
      </w:r>
      <w:r>
        <w:t xml:space="preserve">, for example, add</w:t>
      </w:r>
      <w:r>
        <w:t xml:space="preserve"> </w:t>
      </w:r>
      <w:r>
        <w:t xml:space="preserve">“</w:t>
      </w:r>
      <w:r>
        <w:t xml:space="preserve">ecosystem_sub=Southeastern%20Bering%20Sea</w:t>
      </w:r>
      <w:r>
        <w:t xml:space="preserve">”</w:t>
      </w:r>
      <w:r>
        <w:t xml:space="preserve">, where spaces are filled by</w:t>
      </w:r>
      <w:r>
        <w:t xml:space="preserve"> </w:t>
      </w:r>
      <w:r>
        <w:t xml:space="preserve">“</w:t>
      </w:r>
      <w:r>
        <w:t xml:space="preserve">%20</w:t>
      </w:r>
      <w:r>
        <w:t xml:space="preserve">”</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4.89</w:t>
            </w:r>
          </w:p>
        </w:tc>
        <w:tc>
          <w:p>
            <w:pPr>
              <w:pStyle w:val="Compact"/>
              <w:jc w:val="left"/>
            </w:pPr>
            <w:r>
              <w:t xml:space="preserve">Southeastern Bering Sea</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BodyText"/>
      </w:pPr>
      <w:r>
        <w:t xml:space="preserve">Putting the pieces together - data can be queried directly from AKFIN and saved, manipulated, or visualized directly. Here we query and plot the full time series for the Eastern Gulf of Alaska and for the Eastern Aleutian Islands.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CaptionedFigure"/>
      </w:pPr>
      <w:r>
        <w:drawing>
          <wp:inline>
            <wp:extent cx="5544151" cy="3696101"/>
            <wp:effectExtent b="0" l="0" r="0" t="0"/>
            <wp:docPr descr="Eastern GOA and Eastern Aleutians SST from 1985 - Present." title="" id="1" name="Picture"/>
            <a:graphic>
              <a:graphicData uri="http://schemas.openxmlformats.org/drawingml/2006/picture">
                <pic:pic>
                  <pic:nvPicPr>
                    <pic:cNvPr descr="4_methods_results_files/figure-docx/unnamed-chunk-14-1.png" id="0" name="Picture"/>
                    <pic:cNvPicPr>
                      <a:picLocks noChangeArrowheads="1" noChangeAspect="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Eastern GOA and Eastern Aleutians SST from 1985 - Present.</w:t>
      </w:r>
    </w:p>
    <w:p>
      <w:pPr>
        <w:pStyle w:val="BodyText"/>
      </w:pPr>
      <w:r>
        <w:t xml:space="preserve">One could query and summarize data by month (week, year, etc) by simply grouping and summarizing the data in-line. In this case, we should have removed the most recent year, whose data are incomplete.</w:t>
      </w:r>
    </w:p>
    <w:p>
      <w:pPr>
        <w:pStyle w:val="SourceCode"/>
      </w:pPr>
      <w:r>
        <w:rPr>
          <w:rStyle w:val="CommentTok"/>
        </w:rPr>
        <w:t xml:space="preserve">#Note that year is a character so it needs to be converted to an integer for continuous plotting.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5544151" cy="3696101"/>
            <wp:effectExtent b="0" l="0" r="0" t="0"/>
            <wp:docPr descr="Annual average SST for NMFS areas 640 and 650." title="" id="1" name="Picture"/>
            <a:graphic>
              <a:graphicData uri="http://schemas.openxmlformats.org/drawingml/2006/picture">
                <pic:pic>
                  <pic:nvPicPr>
                    <pic:cNvPr descr="4_methods_results_files/figure-docx/unnamed-chunk-15-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Annual average SST for NMFS areas 640 and 650.</w:t>
      </w:r>
    </w:p>
    <w:p>
      <w:pPr>
        <w:pStyle w:val="Heading1"/>
      </w:pPr>
      <w:bookmarkStart w:id="30" w:name="X9a3b2b2031f724b26b2f66f5362324c968cd289"/>
      <w:r>
        <w:t xml:space="preserve">Piping web service queries into marine heatwave calculations</w:t>
      </w:r>
      <w:bookmarkEnd w:id="30"/>
    </w:p>
    <w:p>
      <w:pPr>
        <w:pStyle w:val="FirstParagraph"/>
      </w:pPr>
      <w:r>
        <w:t xml:space="preserve">With the daily time series for a spatial stratum, implementation of the heatwaveR package is straightforward. We encourage readers to explore the functionality described in the heatwaveR vignettes, from which the following examples are generated</w:t>
      </w:r>
      <w:r>
        <w:t xml:space="preserve"> </w:t>
      </w:r>
      <w:r>
        <w:t xml:space="preserve">(</w:t>
      </w:r>
      <w:r>
        <w:rPr>
          <w:b/>
        </w:rPr>
        <w:t xml:space="preserve">???</w:t>
      </w:r>
      <w:r>
        <w:t xml:space="preserve">)</w:t>
      </w:r>
      <w:r>
        <w:t xml:space="preserve">. We demonstrate a few simple examples below using web services to query the SST time series for NMFS area 640 (Eastern GOA).</w:t>
      </w:r>
    </w:p>
    <w:p>
      <w:pPr>
        <w:pStyle w:val="BodyText"/>
      </w:pPr>
      <w:r>
        <w:t xml:space="preserve">For illustration purposes, we save SST data as an object in the first code chunk but alternatively, the data query could be piped directly into the MHW code chunk that follows to avoid creating an intermediate object.</w:t>
      </w:r>
    </w:p>
    <w:p>
      <w:pPr>
        <w:pStyle w:val="SourceCode"/>
      </w:pPr>
      <w:r>
        <w:rPr>
          <w:rStyle w:val="NormalTok"/>
        </w:rPr>
        <w:t xml:space="preserve">updateddata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w:t>
      </w:r>
      <w:r>
        <w:rPr>
          <w:rStyle w:val="DataTypeTok"/>
        </w:rPr>
        <w:t xml:space="preserve">meansst=</w:t>
      </w:r>
      <w:r>
        <w:rPr>
          <w:rStyle w:val="NormalTok"/>
        </w:rPr>
        <w:t xml:space="preserve">MEANSST,NMFSAREA) </w:t>
      </w:r>
      <w:r>
        <w:rPr>
          <w:rStyle w:val="CommentTok"/>
        </w:rPr>
        <w:t xml:space="preserve">#simplify the data frame for clarity.</w:t>
      </w:r>
    </w:p>
    <w:p>
      <w:pPr>
        <w:pStyle w:val="FirstParagraph"/>
      </w:pPr>
      <w:r>
        <w:t xml:space="preserve">The detect_event() and the ts2clm() functions from</w:t>
      </w:r>
      <w:r>
        <w:t xml:space="preserve"> </w:t>
      </w:r>
      <w:r>
        <w:rPr>
          <w:b/>
        </w:rPr>
        <w:t xml:space="preserve">heatwaveR</w:t>
      </w:r>
      <w:r>
        <w:t xml:space="preserve"> </w:t>
      </w:r>
      <w:r>
        <w:t xml:space="preserve">will calculate MHW status status relative to your baseline period. We specify the earliest 30-years as a baseline by convention. The ts2clm() function generates marine heatwave thresholds from your baseline period. The detect_event() function creates a list of 2 data frames. The first,</w:t>
      </w:r>
      <w:r>
        <w:t xml:space="preserve"> </w:t>
      </w:r>
      <w:r>
        <w:rPr>
          <w:b/>
        </w:rPr>
        <w:t xml:space="preserve">climatology</w:t>
      </w:r>
      <w:r>
        <w:t xml:space="preserve">, adds a series of columns to your data frame, including the seasonal climatology and MHW thresholds as well as flags for whether or not a record falls within a MHW. The second list object,</w:t>
      </w:r>
      <w:r>
        <w:t xml:space="preserve"> </w:t>
      </w:r>
      <w:r>
        <w:rPr>
          <w:b/>
        </w:rPr>
        <w:t xml:space="preserve">event</w:t>
      </w:r>
      <w:r>
        <w:t xml:space="preserve">, includes summary information about each of the MHW events (e.g., max intensity, duration, start and end dates, etc.).</w:t>
      </w:r>
    </w:p>
    <w:p>
      <w:pPr>
        <w:pStyle w:val="SourceCode"/>
      </w:pPr>
      <w:r>
        <w:rPr>
          <w:rStyle w:val="KeywordTok"/>
        </w:rPr>
        <w:t xml:space="preserve">library</w:t>
      </w:r>
      <w:r>
        <w:rPr>
          <w:rStyle w:val="NormalTok"/>
        </w:rPr>
        <w:t xml:space="preserve">(heatwaveR)</w:t>
      </w:r>
      <w:r>
        <w:br w:type="textWrapping"/>
      </w:r>
      <w:r>
        <w:rPr>
          <w:rStyle w:val="NormalTok"/>
        </w:rPr>
        <w:t xml:space="preserve">mhw &lt;-</w:t>
      </w:r>
      <w:r>
        <w:rPr>
          <w:rStyle w:val="StringTok"/>
        </w:rPr>
        <w:t xml:space="preserve"> </w:t>
      </w:r>
      <w:r>
        <w:rPr>
          <w:rStyle w:val="KeywordTok"/>
        </w:rPr>
        <w:t xml:space="preserve">detect_event</w:t>
      </w:r>
      <w:r>
        <w:rPr>
          <w:rStyle w:val="NormalTok"/>
        </w:rPr>
        <w:t xml:space="preserve">(</w:t>
      </w:r>
      <w:r>
        <w:rPr>
          <w:rStyle w:val="KeywordTok"/>
        </w:rPr>
        <w:t xml:space="preserve">ts2clm</w:t>
      </w:r>
      <w:r>
        <w:rPr>
          <w:rStyle w:val="NormalTok"/>
        </w:rPr>
        <w:t xml:space="preserve">(updateddata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t=</w:t>
      </w:r>
      <w:r>
        <w:rPr>
          <w:rStyle w:val="NormalTok"/>
        </w:rPr>
        <w:t xml:space="preserve">date,</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w:t>
      </w:r>
      <w:r>
        <w:br w:type="textWrapping"/>
      </w:r>
      <w:r>
        <w:rPr>
          <w:rStyle w:val="NormalTok"/>
        </w:rPr>
        <w:t xml:space="preserve">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 </w:t>
      </w:r>
      <w:r>
        <w:rPr>
          <w:rStyle w:val="CommentTok"/>
        </w:rPr>
        <w:t xml:space="preserve">#Specify baseline period</w:t>
      </w:r>
    </w:p>
    <w:p>
      <w:pPr>
        <w:pStyle w:val="FirstParagraph"/>
      </w:pPr>
      <w:r>
        <w:t xml:space="preserve">To create the common</w:t>
      </w:r>
      <w:r>
        <w:t xml:space="preserve"> </w:t>
      </w:r>
      <w:r>
        <w:t xml:space="preserve">“</w:t>
      </w:r>
      <w:r>
        <w:t xml:space="preserve">flame</w:t>
      </w:r>
      <w:r>
        <w:t xml:space="preserve">”</w:t>
      </w:r>
      <w:r>
        <w:t xml:space="preserve"> </w:t>
      </w:r>
      <w:r>
        <w:t xml:space="preserve">plots for MHWs, extract the climatology object from the list and plot it. Below we will filter the data since 2018-12-01 for NMFS area 640.</w:t>
      </w:r>
    </w:p>
    <w:p>
      <w:pPr>
        <w:pStyle w:val="SourceCode"/>
      </w:pPr>
      <w:r>
        <w:rPr>
          <w:rStyle w:val="CommentTok"/>
        </w:rPr>
        <w:t xml:space="preserve"># Plotting code directly from heatwaveR vignette.</w:t>
      </w:r>
      <w:r>
        <w:br w:type="textWrapping"/>
      </w:r>
      <w:r>
        <w:rPr>
          <w:rStyle w:val="NormalTok"/>
        </w:rPr>
        <w:t xml:space="preserve">mhw_clim &lt;-</w:t>
      </w:r>
      <w:r>
        <w:rPr>
          <w:rStyle w:val="StringTok"/>
        </w:rPr>
        <w:t xml:space="preserve"> </w:t>
      </w:r>
      <w:r>
        <w:rPr>
          <w:rStyle w:val="NormalTok"/>
        </w:rPr>
        <w:t xml:space="preserve">mhw</w:t>
      </w:r>
      <w:r>
        <w:rPr>
          <w:rStyle w:val="OperatorTok"/>
        </w:rPr>
        <w:t xml:space="preserve">$</w:t>
      </w:r>
      <w:r>
        <w:rPr>
          <w:rStyle w:val="NormalTok"/>
        </w:rPr>
        <w:t xml:space="preserve">climatology </w:t>
      </w:r>
      <w:r>
        <w:rPr>
          <w:rStyle w:val="OperatorTok"/>
        </w:rPr>
        <w:t xml:space="preserve">%&gt;%</w:t>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"2018-12-01"</w:t>
      </w:r>
      <w:r>
        <w:rPr>
          <w:rStyle w:val="NormalTok"/>
        </w:rPr>
        <w:t xml:space="preserve">))  </w:t>
      </w:r>
      <w:r>
        <w:rPr>
          <w:rStyle w:val="CommentTok"/>
        </w:rPr>
        <w:t xml:space="preserve">#Extract the MHW data</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mhw_clim, </w:t>
      </w:r>
      <w:r>
        <w:rPr>
          <w:rStyle w:val="KeywordTok"/>
        </w:rPr>
        <w:t xml:space="preserve">aes</w:t>
      </w:r>
      <w:r>
        <w:rPr>
          <w:rStyle w:val="NormalTok"/>
        </w:rPr>
        <w:t xml:space="preserve">(</w:t>
      </w:r>
      <w:r>
        <w:rPr>
          <w:rStyle w:val="DataTypeTok"/>
        </w:rPr>
        <w:t xml:space="preserve">x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"all"</w:t>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DataTypeTok"/>
        </w:rPr>
        <w:t xml:space="preserve">data =</w:t>
      </w:r>
      <w:r>
        <w:rPr>
          <w:rStyle w:val="NormalTok"/>
        </w:rPr>
        <w:t xml:space="preserve"> mhw_clim, </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"top"</w:t>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colour =</w:t>
      </w:r>
      <w:r>
        <w:rPr>
          <w:rStyle w:val="NormalTok"/>
        </w:rPr>
        <w:t xml:space="preserve"> </w:t>
      </w:r>
      <w:r>
        <w:rPr>
          <w:rStyle w:val="StringTok"/>
        </w:rPr>
        <w:t xml:space="preserve">"temp"</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 </w:t>
      </w:r>
      <w:r>
        <w:rPr>
          <w:rStyle w:val="DataTypeTok"/>
        </w:rPr>
        <w:t xml:space="preserve">colour =</w:t>
      </w:r>
      <w:r>
        <w:rPr>
          <w:rStyle w:val="NormalTok"/>
        </w:rPr>
        <w:t xml:space="preserve"> </w:t>
      </w:r>
      <w:r>
        <w:rPr>
          <w:rStyle w:val="StringTok"/>
        </w:rPr>
        <w:t xml:space="preserve">"thresh"</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 </w:t>
      </w:r>
      <w:r>
        <w:rPr>
          <w:rStyle w:val="DataTypeTok"/>
        </w:rPr>
        <w:t xml:space="preserve">colour =</w:t>
      </w:r>
      <w:r>
        <w:rPr>
          <w:rStyle w:val="NormalTok"/>
        </w:rPr>
        <w:t xml:space="preserve"> </w:t>
      </w:r>
      <w:r>
        <w:rPr>
          <w:rStyle w:val="StringTok"/>
        </w:rPr>
        <w:t xml:space="preserve">"seas"</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"Line Colour"</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 "black"</w:t>
      </w:r>
      <w:r>
        <w:rPr>
          <w:rStyle w:val="NormalTok"/>
        </w:rPr>
        <w:t xml:space="preserve">, </w:t>
      </w:r>
      <w:r>
        <w:br w:type="textWrapping"/>
      </w:r>
      <w:r>
        <w:rPr>
          <w:rStyle w:val="NormalTok"/>
        </w:rPr>
        <w:t xml:space="preserve">                                 </w:t>
      </w:r>
      <w:r>
        <w:rPr>
          <w:rStyle w:val="StringTok"/>
        </w:rPr>
        <w:t xml:space="preserve">"thresh"</w:t>
      </w:r>
      <w:r>
        <w:rPr>
          <w:rStyle w:val="NormalTok"/>
        </w:rPr>
        <w:t xml:space="preserve"> =</w:t>
      </w:r>
      <w:r>
        <w:rPr>
          <w:rStyle w:val="StringTok"/>
        </w:rPr>
        <w:t xml:space="preserve">  "forestgreen"</w:t>
      </w:r>
      <w:r>
        <w:rPr>
          <w:rStyle w:val="NormalTok"/>
        </w:rPr>
        <w:t xml:space="preserve">, </w:t>
      </w:r>
      <w:r>
        <w:br w:type="textWrapping"/>
      </w:r>
      <w:r>
        <w:rPr>
          <w:rStyle w:val="NormalTok"/>
        </w:rPr>
        <w:t xml:space="preserve">                                 </w:t>
      </w:r>
      <w:r>
        <w:rPr>
          <w:rStyle w:val="StringTok"/>
        </w:rPr>
        <w:t xml:space="preserve">"seas"</w:t>
      </w:r>
      <w:r>
        <w:rPr>
          <w:rStyle w:val="NormalTok"/>
        </w:rPr>
        <w:t xml:space="preserve"> =</w:t>
      </w:r>
      <w:r>
        <w:rPr>
          <w:rStyle w:val="StringTok"/>
        </w:rPr>
        <w:t xml:space="preserve"> "grey80"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"Event Colour"</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 =</w:t>
      </w:r>
      <w:r>
        <w:rPr>
          <w:rStyle w:val="StringTok"/>
        </w:rPr>
        <w:t xml:space="preserve"> "salmon"</w:t>
      </w:r>
      <w:r>
        <w:rPr>
          <w:rStyle w:val="NormalTok"/>
        </w:rPr>
        <w:t xml:space="preserve">, </w:t>
      </w:r>
      <w:r>
        <w:br w:type="textWrapping"/>
      </w:r>
      <w:r>
        <w:rPr>
          <w:rStyle w:val="NormalTok"/>
        </w:rPr>
        <w:t xml:space="preserve">                               </w:t>
      </w:r>
      <w:r>
        <w:rPr>
          <w:rStyle w:val="StringTok"/>
        </w:rPr>
        <w:t xml:space="preserve">"top"</w:t>
      </w:r>
      <w:r>
        <w:rPr>
          <w:rStyle w:val="NormalTok"/>
        </w:rPr>
        <w:t xml:space="preserve"> =</w:t>
      </w:r>
      <w:r>
        <w:rPr>
          <w:rStyle w:val="StringTok"/>
        </w:rPr>
        <w:t xml:space="preserve"> "red"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"Temperature ["</w:t>
      </w:r>
      <w:r>
        <w:rPr>
          <w:rStyle w:val="NormalTok"/>
        </w:rPr>
        <w:t xml:space="preserve">, degree, </w:t>
      </w:r>
      <w:r>
        <w:rPr>
          <w:rStyle w:val="StringTok"/>
        </w:rPr>
        <w:t xml:space="preserve">"C]"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18-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Tweak the image slightly to add the intensity categories of the MHWs. To illustrate the categories better here we cherry-pick an example from the Northern Bering Sea. We have also consolidated some code to reduce the number of intermediate objects and we display data from 2019-01-01 to 2019-12-31.</w:t>
      </w:r>
    </w:p>
    <w:p>
      <w:pPr>
        <w:pStyle w:val="SourceCode"/>
      </w:pPr>
      <w:r>
        <w:rPr>
          <w:rStyle w:val="CommentTok"/>
        </w:rPr>
        <w:t xml:space="preserve">#  Here we'll use an example where we do not save the SST data as a separate object first, simply embedding it into the ts2clm() function.</w:t>
      </w:r>
      <w:r>
        <w:br w:type="textWrapping"/>
      </w:r>
      <w:r>
        <w:br w:type="textWrapping"/>
      </w:r>
      <w:r>
        <w:rPr>
          <w:rStyle w:val="NormalTok"/>
        </w:rPr>
        <w:t xml:space="preserve">clim_cat &lt;-</w:t>
      </w:r>
      <w:r>
        <w:rPr>
          <w:rStyle w:val="StringTok"/>
        </w:rPr>
        <w:t xml:space="preserve"> </w:t>
      </w:r>
      <w:r>
        <w:rPr>
          <w:rStyle w:val="NormalTok"/>
        </w:rPr>
        <w:t xml:space="preserve">(</w:t>
      </w:r>
      <w:r>
        <w:rPr>
          <w:rStyle w:val="KeywordTok"/>
        </w:rPr>
        <w:t xml:space="preserve">detect_event</w:t>
      </w:r>
      <w:r>
        <w:rPr>
          <w:rStyle w:val="NormalTok"/>
        </w:rPr>
        <w:t xml:space="preserve">(</w:t>
      </w:r>
      <w:r>
        <w:rPr>
          <w:rStyle w:val="KeywordTok"/>
        </w:rPr>
        <w:t xml:space="preserve">ts2clm</w:t>
      </w:r>
      <w:r>
        <w:rPr>
          <w:rStyle w:val="NormalTok"/>
        </w:rPr>
        <w:t xml:space="preserve">(</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'https://apex.psmfc.org/akfin/data_marts/akmp/ecosystem_sub_crw_avg_sst?ecosystem_sub=Northern%20Bering%20Sea&amp;start_date=19850101&amp;end_date=20211231'</w:t>
      </w:r>
      <w:r>
        <w:rPr>
          <w:rStyle w:val="NormalTok"/>
        </w:rPr>
        <w:t xml:space="preserve">), </w:t>
      </w:r>
      <w:r>
        <w:br w:type="textWrapping"/>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t=</w:t>
      </w:r>
      <w:r>
        <w:rPr>
          <w:rStyle w:val="NormalTok"/>
        </w:rPr>
        <w:t xml:space="preserve">date,</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w:t>
      </w:r>
      <w:r>
        <w:rPr>
          <w:rStyle w:val="OperatorTok"/>
        </w:rPr>
        <w:t xml:space="preserve">$</w:t>
      </w:r>
      <w:r>
        <w:rPr>
          <w:rStyle w:val="NormalTok"/>
        </w:rPr>
        <w:t xml:space="preserve">climatology </w:t>
      </w:r>
      <w:r>
        <w:rPr>
          <w:rStyle w:val="OperatorTok"/>
        </w:rPr>
        <w:t xml:space="preserve">%&gt;%</w:t>
      </w:r>
      <w:r>
        <w:rPr>
          <w:rStyle w:val="StringTok"/>
        </w:rPr>
        <w:t xml:space="preserve"> </w:t>
      </w:r>
      <w:r>
        <w:rPr>
          <w:rStyle w:val="CommentTok"/>
        </w:rPr>
        <w:t xml:space="preserve">#Specify the baseline period.</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diff =</w:t>
      </w:r>
      <w:r>
        <w:rPr>
          <w:rStyle w:val="NormalTok"/>
        </w:rPr>
        <w:t xml:space="preserve"> thresh </w:t>
      </w:r>
      <w:r>
        <w:rPr>
          <w:rStyle w:val="OperatorTok"/>
        </w:rPr>
        <w:t xml:space="preserve">-</w:t>
      </w:r>
      <w:r>
        <w:rPr>
          <w:rStyle w:val="StringTok"/>
        </w:rPr>
        <w:t xml:space="preserve"> </w:t>
      </w:r>
      <w:r>
        <w:rPr>
          <w:rStyle w:val="NormalTok"/>
        </w:rPr>
        <w:t xml:space="preserve">seas,</w:t>
      </w:r>
      <w:r>
        <w:br w:type="textWrapping"/>
      </w:r>
      <w:r>
        <w:rPr>
          <w:rStyle w:val="NormalTok"/>
        </w:rPr>
        <w:t xml:space="preserve">                </w:t>
      </w:r>
      <w:r>
        <w:rPr>
          <w:rStyle w:val="DataTypeTok"/>
        </w:rPr>
        <w:t xml:space="preserve">thresh_2x =</w:t>
      </w:r>
      <w:r>
        <w:rPr>
          <w:rStyle w:val="NormalTok"/>
        </w:rPr>
        <w:t xml:space="preserve"> thresh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thresh_3x =</w:t>
      </w:r>
      <w:r>
        <w:rPr>
          <w:rStyle w:val="NormalTok"/>
        </w:rPr>
        <w:t xml:space="preserve"> thresh_2x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thresh_4x =</w:t>
      </w:r>
      <w:r>
        <w:rPr>
          <w:rStyle w:val="NormalTok"/>
        </w:rPr>
        <w:t xml:space="preserve"> thresh_3x </w:t>
      </w:r>
      <w:r>
        <w:rPr>
          <w:rStyle w:val="OperatorTok"/>
        </w:rPr>
        <w:t xml:space="preserve">+</w:t>
      </w:r>
      <w:r>
        <w:rPr>
          <w:rStyle w:val="StringTok"/>
        </w:rPr>
        <w:t xml:space="preserve"> </w:t>
      </w:r>
      <w:r>
        <w:rPr>
          <w:rStyle w:val="NormalTok"/>
        </w:rPr>
        <w:t xml:space="preserve">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"2019-01-01"</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CommentTok"/>
        </w:rPr>
        <w:t xml:space="preserve"># Select the time period to display.</w:t>
      </w:r>
      <w:r>
        <w:br w:type="textWrapping"/>
      </w:r>
      <w:r>
        <w:br w:type="textWrapping"/>
      </w:r>
      <w:r>
        <w:rPr>
          <w:rStyle w:val="CommentTok"/>
        </w:rPr>
        <w:t xml:space="preserve"># Plotting code directly from heatwaveR vignette.</w:t>
      </w:r>
      <w:r>
        <w:br w:type="textWrapping"/>
      </w:r>
      <w:r>
        <w:rPr>
          <w:rStyle w:val="CommentTok"/>
        </w:rPr>
        <w:t xml:space="preserve"># Set line colours</w:t>
      </w:r>
      <w:r>
        <w:br w:type="textWrapping"/>
      </w:r>
      <w:r>
        <w:rPr>
          <w:rStyle w:val="NormalTok"/>
        </w:rPr>
        <w:t xml:space="preserve">lineColCat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"Temperature"</w:t>
      </w:r>
      <w:r>
        <w:rPr>
          <w:rStyle w:val="NormalTok"/>
        </w:rPr>
        <w:t xml:space="preserve"> =</w:t>
      </w:r>
      <w:r>
        <w:rPr>
          <w:rStyle w:val="StringTok"/>
        </w:rPr>
        <w:t xml:space="preserve"> "black"</w:t>
      </w:r>
      <w:r>
        <w:rPr>
          <w:rStyle w:val="NormalTok"/>
        </w:rPr>
        <w:t xml:space="preserve">,</w:t>
      </w:r>
      <w:r>
        <w:br w:type="textWrapping"/>
      </w:r>
      <w:r>
        <w:rPr>
          <w:rStyle w:val="NormalTok"/>
        </w:rPr>
        <w:t xml:space="preserve">  </w:t>
      </w:r>
      <w:r>
        <w:rPr>
          <w:rStyle w:val="StringTok"/>
        </w:rPr>
        <w:t xml:space="preserve">"Climatology"</w:t>
      </w:r>
      <w:r>
        <w:rPr>
          <w:rStyle w:val="NormalTok"/>
        </w:rPr>
        <w:t xml:space="preserve"> =</w:t>
      </w:r>
      <w:r>
        <w:rPr>
          <w:rStyle w:val="StringTok"/>
        </w:rPr>
        <w:t xml:space="preserve"> "gray20"</w:t>
      </w:r>
      <w:r>
        <w:rPr>
          <w:rStyle w:val="NormalTok"/>
        </w:rPr>
        <w:t xml:space="preserve">,</w:t>
      </w:r>
      <w:r>
        <w:br w:type="textWrapping"/>
      </w:r>
      <w:r>
        <w:rPr>
          <w:rStyle w:val="NormalTok"/>
        </w:rPr>
        <w:t xml:space="preserve">  </w:t>
      </w:r>
      <w:r>
        <w:rPr>
          <w:rStyle w:val="StringTok"/>
        </w:rPr>
        <w:t xml:space="preserve">"Threshold"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"3x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"4x Threshold"</w:t>
      </w:r>
      <w:r>
        <w:rPr>
          <w:rStyle w:val="NormalTok"/>
        </w:rPr>
        <w:t xml:space="preserve"> =</w:t>
      </w:r>
      <w:r>
        <w:rPr>
          <w:rStyle w:val="StringTok"/>
        </w:rPr>
        <w:t xml:space="preserve"> "darkgreen"</w:t>
      </w:r>
      <w:r>
        <w:br w:type="textWrapping"/>
      </w:r>
      <w:r>
        <w:rPr>
          <w:rStyle w:val="NormalTok"/>
        </w:rPr>
        <w:t xml:space="preserve">  )</w:t>
      </w:r>
      <w:r>
        <w:br w:type="textWrapping"/>
      </w:r>
      <w:r>
        <w:br w:type="textWrapping"/>
      </w:r>
      <w:r>
        <w:rPr>
          <w:rStyle w:val="CommentTok"/>
        </w:rPr>
        <w:t xml:space="preserve"># Set category fill colours</w:t>
      </w:r>
      <w:r>
        <w:br w:type="textWrapping"/>
      </w:r>
      <w:r>
        <w:rPr>
          <w:rStyle w:val="NormalTok"/>
        </w:rPr>
        <w:t xml:space="preserve">fillColCat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"Moderate"</w:t>
      </w:r>
      <w:r>
        <w:rPr>
          <w:rStyle w:val="NormalTok"/>
        </w:rPr>
        <w:t xml:space="preserve"> =</w:t>
      </w:r>
      <w:r>
        <w:rPr>
          <w:rStyle w:val="StringTok"/>
        </w:rPr>
        <w:t xml:space="preserve"> "#ffc866"</w:t>
      </w:r>
      <w:r>
        <w:rPr>
          <w:rStyle w:val="NormalTok"/>
        </w:rPr>
        <w:t xml:space="preserve">,</w:t>
      </w:r>
      <w:r>
        <w:br w:type="textWrapping"/>
      </w:r>
      <w:r>
        <w:rPr>
          <w:rStyle w:val="NormalTok"/>
        </w:rPr>
        <w:t xml:space="preserve">  </w:t>
      </w:r>
      <w:r>
        <w:rPr>
          <w:rStyle w:val="StringTok"/>
        </w:rPr>
        <w:t xml:space="preserve">"Strong"</w:t>
      </w:r>
      <w:r>
        <w:rPr>
          <w:rStyle w:val="NormalTok"/>
        </w:rPr>
        <w:t xml:space="preserve"> =</w:t>
      </w:r>
      <w:r>
        <w:rPr>
          <w:rStyle w:val="StringTok"/>
        </w:rPr>
        <w:t xml:space="preserve"> "#ff6900"</w:t>
      </w:r>
      <w:r>
        <w:rPr>
          <w:rStyle w:val="NormalTok"/>
        </w:rPr>
        <w:t xml:space="preserve">,</w:t>
      </w:r>
      <w:r>
        <w:br w:type="textWrapping"/>
      </w:r>
      <w:r>
        <w:rPr>
          <w:rStyle w:val="NormalTok"/>
        </w:rPr>
        <w:t xml:space="preserve">  </w:t>
      </w:r>
      <w:r>
        <w:rPr>
          <w:rStyle w:val="StringTok"/>
        </w:rPr>
        <w:t xml:space="preserve">"Severe"</w:t>
      </w:r>
      <w:r>
        <w:rPr>
          <w:rStyle w:val="NormalTok"/>
        </w:rPr>
        <w:t xml:space="preserve"> =</w:t>
      </w:r>
      <w:r>
        <w:rPr>
          <w:rStyle w:val="StringTok"/>
        </w:rPr>
        <w:t xml:space="preserve"> "#9e0000"</w:t>
      </w:r>
      <w:r>
        <w:rPr>
          <w:rStyle w:val="NormalTok"/>
        </w:rPr>
        <w:t xml:space="preserve">,</w:t>
      </w:r>
      <w:r>
        <w:br w:type="textWrapping"/>
      </w:r>
      <w:r>
        <w:rPr>
          <w:rStyle w:val="NormalTok"/>
        </w:rPr>
        <w:t xml:space="preserve">  </w:t>
      </w:r>
      <w:r>
        <w:rPr>
          <w:rStyle w:val="StringTok"/>
        </w:rPr>
        <w:t xml:space="preserve">"Extreme"</w:t>
      </w:r>
      <w:r>
        <w:rPr>
          <w:rStyle w:val="NormalTok"/>
        </w:rPr>
        <w:t xml:space="preserve"> =</w:t>
      </w:r>
      <w:r>
        <w:rPr>
          <w:rStyle w:val="StringTok"/>
        </w:rPr>
        <w:t xml:space="preserve"> "#2d0000"</w:t>
      </w:r>
      <w:r>
        <w:br w:type="textWrapping"/>
      </w:r>
      <w:r>
        <w:rPr>
          <w:rStyle w:val="NormalTok"/>
        </w:rPr>
        <w:t xml:space="preserve">  )</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clim_cat, </w:t>
      </w:r>
      <w:r>
        <w:rPr>
          <w:rStyle w:val="KeywordTok"/>
        </w:rPr>
        <w:t xml:space="preserve">aes</w:t>
      </w:r>
      <w:r>
        <w:rPr>
          <w:rStyle w:val="NormalTok"/>
        </w:rPr>
        <w:t xml:space="preserve">(</w:t>
      </w:r>
      <w:r>
        <w:rPr>
          <w:rStyle w:val="DataTypeTok"/>
        </w:rPr>
        <w:t xml:space="preserve">x =</w:t>
      </w:r>
      <w:r>
        <w:rPr>
          <w:rStyle w:val="NormalTok"/>
        </w:rPr>
        <w:t xml:space="preserve"> t, </w:t>
      </w:r>
      <w:r>
        <w:rPr>
          <w:rStyle w:val="DataTypeTok"/>
        </w:rPr>
        <w:t xml:space="preserve">y =</w:t>
      </w:r>
      <w:r>
        <w:rPr>
          <w:rStyle w:val="NormalTok"/>
        </w:rPr>
        <w:t xml:space="preserve"> temp))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"Moderate"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thresh_2x, </w:t>
      </w:r>
      <w:r>
        <w:rPr>
          <w:rStyle w:val="DataTypeTok"/>
        </w:rPr>
        <w:t xml:space="preserve">fill =</w:t>
      </w:r>
      <w:r>
        <w:rPr>
          <w:rStyle w:val="NormalTok"/>
        </w:rPr>
        <w:t xml:space="preserve"> </w:t>
      </w:r>
      <w:r>
        <w:rPr>
          <w:rStyle w:val="StringTok"/>
        </w:rPr>
        <w:t xml:space="preserve">"Strong"</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thresh_3x, </w:t>
      </w:r>
      <w:r>
        <w:rPr>
          <w:rStyle w:val="DataTypeTok"/>
        </w:rPr>
        <w:t xml:space="preserve">fill =</w:t>
      </w:r>
      <w:r>
        <w:rPr>
          <w:rStyle w:val="NormalTok"/>
        </w:rPr>
        <w:t xml:space="preserve"> </w:t>
      </w:r>
      <w:r>
        <w:rPr>
          <w:rStyle w:val="StringTok"/>
        </w:rPr>
        <w:t xml:space="preserve">"Severe"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thresh_4x, </w:t>
      </w:r>
      <w:r>
        <w:rPr>
          <w:rStyle w:val="DataTypeTok"/>
        </w:rPr>
        <w:t xml:space="preserve">fill =</w:t>
      </w:r>
      <w:r>
        <w:rPr>
          <w:rStyle w:val="NormalTok"/>
        </w:rPr>
        <w:t xml:space="preserve"> </w:t>
      </w:r>
      <w:r>
        <w:rPr>
          <w:rStyle w:val="StringTok"/>
        </w:rPr>
        <w:t xml:space="preserve">"Extreme"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thresh_2x, </w:t>
      </w:r>
      <w:r>
        <w:rPr>
          <w:rStyle w:val="DataTypeTok"/>
        </w:rPr>
        <w:t xml:space="preserve">col =</w:t>
      </w:r>
      <w:r>
        <w:rPr>
          <w:rStyle w:val="NormalTok"/>
        </w:rPr>
        <w:t xml:space="preserve"> </w:t>
      </w:r>
      <w:r>
        <w:rPr>
          <w:rStyle w:val="StringTok"/>
        </w:rPr>
        <w:t xml:space="preserve">"2x 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thresh_3x, </w:t>
      </w:r>
      <w:r>
        <w:rPr>
          <w:rStyle w:val="DataTypeTok"/>
        </w:rPr>
        <w:t xml:space="preserve">col =</w:t>
      </w:r>
      <w:r>
        <w:rPr>
          <w:rStyle w:val="NormalTok"/>
        </w:rPr>
        <w:t xml:space="preserve"> </w:t>
      </w:r>
      <w:r>
        <w:rPr>
          <w:rStyle w:val="StringTok"/>
        </w:rPr>
        <w:t xml:space="preserve">"3x 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thresh_4x, </w:t>
      </w:r>
      <w:r>
        <w:rPr>
          <w:rStyle w:val="DataTypeTok"/>
        </w:rPr>
        <w:t xml:space="preserve">col =</w:t>
      </w:r>
      <w:r>
        <w:rPr>
          <w:rStyle w:val="NormalTok"/>
        </w:rPr>
        <w:t xml:space="preserve"> </w:t>
      </w:r>
      <w:r>
        <w:rPr>
          <w:rStyle w:val="StringTok"/>
        </w:rPr>
        <w:t xml:space="preserve">"4x 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 </w:t>
      </w:r>
      <w:r>
        <w:rPr>
          <w:rStyle w:val="DataTypeTok"/>
        </w:rPr>
        <w:t xml:space="preserve">col =</w:t>
      </w:r>
      <w:r>
        <w:rPr>
          <w:rStyle w:val="NormalTok"/>
        </w:rPr>
        <w:t xml:space="preserve"> </w:t>
      </w:r>
      <w:r>
        <w:rPr>
          <w:rStyle w:val="StringTok"/>
        </w:rPr>
        <w:t xml:space="preserve">"Climatology"</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 </w:t>
      </w:r>
      <w:r>
        <w:rPr>
          <w:rStyle w:val="DataTypeTok"/>
        </w:rPr>
        <w:t xml:space="preserve">col =</w:t>
      </w:r>
      <w:r>
        <w:rPr>
          <w:rStyle w:val="NormalTok"/>
        </w:rPr>
        <w:t xml:space="preserve"> </w:t>
      </w:r>
      <w:r>
        <w:rPr>
          <w:rStyle w:val="StringTok"/>
        </w:rPr>
        <w:t xml:space="preserve">"Threshold"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col =</w:t>
      </w:r>
      <w:r>
        <w:rPr>
          <w:rStyle w:val="NormalTok"/>
        </w:rPr>
        <w:t xml:space="preserve"> </w:t>
      </w:r>
      <w:r>
        <w:rPr>
          <w:rStyle w:val="StringTok"/>
        </w:rPr>
        <w:t xml:space="preserve">"Temperature"</w:t>
      </w:r>
      <w:r>
        <w:rPr>
          <w:rStyle w:val="NormalTok"/>
        </w:rPr>
        <w:t xml:space="preserve">), </w:t>
      </w:r>
      <w:r>
        <w:rPr>
          <w:rStyle w:val="DataTypeTok"/>
        </w:rPr>
        <w:t xml:space="preserve">size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rPr>
          <w:rStyle w:val="DataTypeTok"/>
        </w:rPr>
        <w:t xml:space="preserve">values =</w:t>
      </w:r>
      <w:r>
        <w:rPr>
          <w:rStyle w:val="NormalTok"/>
        </w:rPr>
        <w:t xml:space="preserve"> lineColCat,</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"Temperature"</w:t>
      </w:r>
      <w:r>
        <w:rPr>
          <w:rStyle w:val="NormalTok"/>
        </w:rPr>
        <w:t xml:space="preserve">, </w:t>
      </w:r>
      <w:r>
        <w:rPr>
          <w:rStyle w:val="StringTok"/>
        </w:rPr>
        <w:t xml:space="preserve">"Climatology"</w:t>
      </w:r>
      <w:r>
        <w:rPr>
          <w:rStyle w:val="NormalTok"/>
        </w:rPr>
        <w:t xml:space="preserve">, </w:t>
      </w:r>
      <w:r>
        <w:rPr>
          <w:rStyle w:val="StringTok"/>
        </w:rPr>
        <w:t xml:space="preserve">"Threshold"</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rPr>
          <w:rStyle w:val="StringTok"/>
        </w:rPr>
        <w:t xml:space="preserve">"3x Threshold"</w:t>
      </w:r>
      <w:r>
        <w:rPr>
          <w:rStyle w:val="NormalTok"/>
        </w:rPr>
        <w:t xml:space="preserve">, </w:t>
      </w:r>
      <w:r>
        <w:rPr>
          <w:rStyle w:val="StringTok"/>
        </w:rPr>
        <w:t xml:space="preserve">"4x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rPr>
          <w:rStyle w:val="DataTypeTok"/>
        </w:rPr>
        <w:t xml:space="preserve">values =</w:t>
      </w:r>
      <w:r>
        <w:rPr>
          <w:rStyle w:val="NormalTok"/>
        </w:rPr>
        <w:t xml:space="preserve"> fillColCat, </w:t>
      </w:r>
      <w:r>
        <w:rPr>
          <w:rStyle w:val="DataTypeTok"/>
        </w:rPr>
        <w:t xml:space="preserve">guide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"solid"</w:t>
      </w:r>
      <w:r>
        <w:rPr>
          <w:rStyle w:val="NormalTok"/>
        </w:rPr>
        <w:t xml:space="preserve">, </w:t>
      </w:r>
      <w:r>
        <w:rPr>
          <w:rStyle w:val="StringTok"/>
        </w:rPr>
        <w:t xml:space="preserve">"solid"</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StringTok"/>
        </w:rPr>
        <w:t xml:space="preserve">"dashed"</w:t>
      </w:r>
      <w:r>
        <w:rPr>
          <w:rStyle w:val="NormalTok"/>
        </w:rPr>
        <w:t xml:space="preserve">, </w:t>
      </w:r>
      <w:r>
        <w:rPr>
          <w:rStyle w:val="StringTok"/>
        </w:rPr>
        <w:t xml:space="preserve">"dotdash"</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"Temperature [°C]"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19-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p>
    <w:p>
      <w:pPr>
        <w:pStyle w:val="BodyText"/>
      </w:pP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As we note in the web services section, such custom queries can also be automated by working with AFSC and AKFIN staff. However, for users that prefer to code their own queries, we provide several examples here. Notably, to query directly from the database, users will need an AKFIN database account, which can be provided by contacting the authors of this document.</w:t>
      </w:r>
    </w:p>
    <w:p>
      <w:pPr>
        <w:pStyle w:val="BodyText"/>
      </w:pPr>
      <w:r>
        <w:t xml:space="preserve">This section is not meant to serve as a SQL tutorial. Rather, its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t xml:space="preserve">The gridded SST data (Fig. BB) are stored within the AFSC schema on the AKFIN Oracle database and the primary key linking the lookup tables (Fig. AA) with the gridded data is the ID field. In the lookup table, it is simply</w:t>
      </w:r>
      <w:r>
        <w:t xml:space="preserve"> </w:t>
      </w:r>
      <w:r>
        <w:t xml:space="preserve">“</w:t>
      </w:r>
      <w:r>
        <w:t xml:space="preserve">ID</w:t>
      </w:r>
      <w:r>
        <w:t xml:space="preserve">”</w:t>
      </w:r>
      <w:r>
        <w:t xml:space="preserve"> </w:t>
      </w:r>
      <w:r>
        <w:t xml:space="preserve">and in the data table it is</w:t>
      </w:r>
      <w:r>
        <w:t xml:space="preserve"> </w:t>
      </w:r>
      <w:r>
        <w:t xml:space="preserve">“</w:t>
      </w:r>
      <w:r>
        <w:t xml:space="preserve">CRW_ID</w:t>
      </w:r>
      <w:r>
        <w:t xml:space="preserve">”</w:t>
      </w:r>
      <w:r>
        <w:t xml:space="preserve">.</w:t>
      </w:r>
    </w:p>
    <w:p>
      <w:pPr>
        <w:pStyle w:val="SourceCode"/>
      </w:pP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NormalTok"/>
        </w:rPr>
        <w:t xml:space="preserve">      </w:t>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tbl>
      <w:tblPr>
        <w:tblStyle w:val="Table"/>
        <w:tblW w:type="pct" w:w="5000.0"/>
        <w:tblLook w:firstRow="1"/>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BodyText"/>
      </w:pPr>
      <w:r>
        <w:t xml:space="preserve">Figure BB. Screenshot of the AFSC.ERDDAP_CRW_SST table.</w:t>
      </w:r>
    </w:p>
    <w:p>
      <w:pPr>
        <w:pStyle w:val="SourceCode"/>
      </w:pP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NormalTok"/>
        </w:rPr>
        <w:t xml:space="preserve">      </w:t>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t xml:space="preserve">Figure AA. Screenshot of a CRW SST query within SQL Developer. Several columns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w:t>
      </w:r>
    </w:p>
    <w:p>
      <w:pPr>
        <w:pStyle w:val="BodyText"/>
      </w:pPr>
      <w:r>
        <w:t xml:space="preserve">The following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 </w:t>
      </w:r>
      <w:r>
        <w:t xml:space="preserve">(Fig. CC).</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NormalTok"/>
        </w:rPr>
        <w:t xml:space="preserve">                   </w:t>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NormalTok"/>
        </w:rPr>
        <w:t xml:space="preserve">         </w:t>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2000-01-09 12:00:00</w:t>
            </w:r>
          </w:p>
        </w:tc>
        <w:tc>
          <w:p>
            <w:pPr>
              <w:pStyle w:val="Compact"/>
              <w:jc w:val="right"/>
            </w:pPr>
            <w:r>
              <w:t xml:space="preserve">0.43</w:t>
            </w:r>
          </w:p>
        </w:tc>
        <w:tc>
          <w:p>
            <w:pPr>
              <w:pStyle w:val="Compact"/>
              <w:jc w:val="left"/>
            </w:pPr>
            <w:r>
              <w:t xml:space="preserve">2000</w:t>
            </w:r>
          </w:p>
        </w:tc>
        <w:tc>
          <w:p>
            <w:pPr>
              <w:pStyle w:val="Compact"/>
              <w:jc w:val="left"/>
            </w:pPr>
            <w:r>
              <w:t xml:space="preserve">stmatts</w:t>
            </w:r>
          </w:p>
        </w:tc>
      </w:tr>
      <w:tr>
        <w:tc>
          <w:p>
            <w:pPr>
              <w:pStyle w:val="Compact"/>
              <w:jc w:val="left"/>
            </w:pPr>
            <w:r>
              <w:t xml:space="preserve">2000-01-10 12:00:00</w:t>
            </w:r>
          </w:p>
        </w:tc>
        <w:tc>
          <w:p>
            <w:pPr>
              <w:pStyle w:val="Compact"/>
              <w:jc w:val="right"/>
            </w:pPr>
            <w:r>
              <w:t xml:space="preserve">0.42</w:t>
            </w:r>
          </w:p>
        </w:tc>
        <w:tc>
          <w:p>
            <w:pPr>
              <w:pStyle w:val="Compact"/>
              <w:jc w:val="left"/>
            </w:pPr>
            <w:r>
              <w:t xml:space="preserve">2000</w:t>
            </w:r>
          </w:p>
        </w:tc>
        <w:tc>
          <w:p>
            <w:pPr>
              <w:pStyle w:val="Compact"/>
              <w:jc w:val="left"/>
            </w:pPr>
            <w:r>
              <w:t xml:space="preserve">stmatts</w:t>
            </w:r>
          </w:p>
        </w:tc>
      </w:tr>
      <w:tr>
        <w:tc>
          <w:p>
            <w:pPr>
              <w:pStyle w:val="Compact"/>
              <w:jc w:val="left"/>
            </w:pPr>
            <w:r>
              <w:t xml:space="preserve">2000-01-11 12:00:00</w:t>
            </w:r>
          </w:p>
        </w:tc>
        <w:tc>
          <w:p>
            <w:pPr>
              <w:pStyle w:val="Compact"/>
              <w:jc w:val="right"/>
            </w:pPr>
            <w:r>
              <w:t xml:space="preserve">0.35</w:t>
            </w:r>
          </w:p>
        </w:tc>
        <w:tc>
          <w:p>
            <w:pPr>
              <w:pStyle w:val="Compact"/>
              <w:jc w:val="left"/>
            </w:pPr>
            <w:r>
              <w:t xml:space="preserve">2000</w:t>
            </w:r>
          </w:p>
        </w:tc>
        <w:tc>
          <w:p>
            <w:pPr>
              <w:pStyle w:val="Compact"/>
              <w:jc w:val="left"/>
            </w:pPr>
            <w:r>
              <w:t xml:space="preserve">stmatts</w:t>
            </w:r>
          </w:p>
        </w:tc>
      </w:tr>
      <w:tr>
        <w:tc>
          <w:p>
            <w:pPr>
              <w:pStyle w:val="Compact"/>
              <w:jc w:val="left"/>
            </w:pPr>
            <w:r>
              <w:t xml:space="preserve">2000-01-12 12:00:00</w:t>
            </w:r>
          </w:p>
        </w:tc>
        <w:tc>
          <w:p>
            <w:pPr>
              <w:pStyle w:val="Compact"/>
              <w:jc w:val="right"/>
            </w:pPr>
            <w:r>
              <w:t xml:space="preserve">0.24</w:t>
            </w:r>
          </w:p>
        </w:tc>
        <w:tc>
          <w:p>
            <w:pPr>
              <w:pStyle w:val="Compact"/>
              <w:jc w:val="left"/>
            </w:pPr>
            <w:r>
              <w:t xml:space="preserve">2000</w:t>
            </w:r>
          </w:p>
        </w:tc>
        <w:tc>
          <w:p>
            <w:pPr>
              <w:pStyle w:val="Compact"/>
              <w:jc w:val="left"/>
            </w:pPr>
            <w:r>
              <w:t xml:space="preserve">stmatts</w:t>
            </w:r>
          </w:p>
        </w:tc>
      </w:tr>
      <w:tr>
        <w:tc>
          <w:p>
            <w:pPr>
              <w:pStyle w:val="Compact"/>
              <w:jc w:val="left"/>
            </w:pPr>
            <w:r>
              <w:t xml:space="preserve">2000-01-29 12:00:00</w:t>
            </w:r>
          </w:p>
        </w:tc>
        <w:tc>
          <w:p>
            <w:pPr>
              <w:pStyle w:val="Compact"/>
              <w:jc w:val="right"/>
            </w:pPr>
            <w:r>
              <w:t xml:space="preserve">0.11</w:t>
            </w:r>
          </w:p>
        </w:tc>
        <w:tc>
          <w:p>
            <w:pPr>
              <w:pStyle w:val="Compact"/>
              <w:jc w:val="left"/>
            </w:pPr>
            <w:r>
              <w:t xml:space="preserve">2000</w:t>
            </w:r>
          </w:p>
        </w:tc>
        <w:tc>
          <w:p>
            <w:pPr>
              <w:pStyle w:val="Compact"/>
              <w:jc w:val="left"/>
            </w:pPr>
            <w:r>
              <w:t xml:space="preserve">stmatts</w:t>
            </w:r>
          </w:p>
        </w:tc>
      </w:tr>
    </w:tbl>
    <w:p>
      <w:pPr>
        <w:pStyle w:val="BodyText"/>
      </w:pPr>
      <w:r>
        <w:t xml:space="preserve">Figure CC. Screenshot of a CRW SST query for records that fall within a crab management area.</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Query_CRW_Crab_plot-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Figure DD. Screenshot of a plotted query of Bristol Bay crab management area SST data averaged daily and plotted with default smoothing.</w:t>
      </w:r>
    </w:p>
    <w:p>
      <w:pPr>
        <w:pStyle w:val="Heading1"/>
      </w:pPr>
      <w:bookmarkStart w:id="34" w:name="bibliography"/>
      <w:r>
        <w:t xml:space="preserve">References</w:t>
      </w:r>
      <w:bookmarkEnd w:id="34"/>
    </w:p>
    <w:bookmarkStart w:id="36" w:name="refs"/>
    <w:bookmarkStart w:id="35" w:name="ref-Simons2020"/>
    <w:p>
      <w:pPr>
        <w:pStyle w:val="Bibliography"/>
      </w:pPr>
      <w:r>
        <w:t xml:space="preserve">Simons B. 2020. ERDDAP..</w:t>
      </w:r>
      <w:r>
        <w:t xml:space="preserve"> </w:t>
      </w:r>
    </w:p>
    <w:bookmarkEnd w:id="35"/>
    <w:bookmarkEnd w:id="36"/>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2" Target="ftp://ftp.star.nesdis.noaa.gov/pub/socd/mecb/crw/data/coraltemp/v1.0/nc/1985/" TargetMode="External" /><Relationship Type="http://schemas.openxmlformats.org/officeDocument/2006/relationships/hyperlink" Id="rId23" Target="https://apex.psmfc.org/akfin/data_marts/akmp/nmfs_area_crw_avg_sst?nmfs_area=640" TargetMode="External" /><Relationship Type="http://schemas.openxmlformats.org/officeDocument/2006/relationships/hyperlink" Id="rId21" Target="https://coralreefwatch.noaa.gov/product/5km/index_5km_sst.php" TargetMode="External" /></Relationships>
</file>

<file path=word/_rels/footnotes.xml.rels><?xml version="1.0" encoding="UTF-8"?>
<Relationships xmlns="http://schemas.openxmlformats.org/package/2006/relationships"><Relationship Type="http://schemas.openxmlformats.org/officeDocument/2006/relationships/hyperlink" Id="rId22" Target="ftp://ftp.star.nesdis.noaa.gov/pub/socd/mecb/crw/data/coraltemp/v1.0/nc/1985/" TargetMode="External" /><Relationship Type="http://schemas.openxmlformats.org/officeDocument/2006/relationships/hyperlink" Id="rId23" Target="https://apex.psmfc.org/akfin/data_marts/akmp/nmfs_area_crw_avg_sst?nmfs_area=640" TargetMode="External" /><Relationship Type="http://schemas.openxmlformats.org/officeDocument/2006/relationships/hyperlink" Id="rId21" Target="https://coralreefwatch.noaa.gov/product/5km/index_5km_sst.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2021-06-09T18:55:35Z</dcterms:created>
  <dcterms:modified xsi:type="dcterms:W3CDTF">2021-06-09T18:55:35Z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