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4.png" ContentType="image/png"/>
  <Override PartName="/word/media/rId36.png" ContentType="image/png"/>
  <Override PartName="/word/media/rId37.png" ContentType="image/png"/>
  <Override PartName="/word/media/rId35.png" ContentType="image/png"/>
  <Override PartName="/word/media/rId32.png" ContentType="image/png"/>
  <Override PartName="/word/media/rId33.png" ContentType="image/png"/>
  <Override PartName="/word/media/rId25.png" ContentType="image/png"/>
  <Override PartName="/word/media/rId30.png" ContentType="image/png"/>
  <Override PartName="/word/media/rId31.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data,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rPr>
          <w:strike/>
        </w:rP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rPr>
          <w:strike/>
        </w:rPr>
        <w:t xml:space="preserve"> </w:t>
      </w:r>
      <w:r>
        <w:rPr>
          <w:strike/>
        </w:rPr>
        <w:t xml:space="preserve">(Haynie and Pfeiffer</w:t>
      </w:r>
      <w:r>
        <w:rPr>
          <w:strike/>
        </w:rPr>
        <w:t xml:space="preserve"> </w:t>
      </w:r>
      <w:hyperlink w:anchor="ref-Haynie2012">
        <w:r>
          <w:rPr>
            <w:rStyle w:val="Hyperlink"/>
            <w:strike/>
          </w:rPr>
          <w:t xml:space="preserve">2012</w:t>
        </w:r>
      </w:hyperlink>
      <w:r>
        <w:rPr>
          <w:strike/>
        </w:rPr>
        <w:t xml:space="preserve">, Watson and Haynie</w:t>
      </w:r>
      <w:r>
        <w:rPr>
          <w:strike/>
        </w:rPr>
        <w:t xml:space="preserve"> </w:t>
      </w:r>
      <w:hyperlink w:anchor="ref-Watson2018">
        <w:r>
          <w:rPr>
            <w:rStyle w:val="Hyperlink"/>
            <w:strike/>
          </w:rPr>
          <w:t xml:space="preserve">2018</w:t>
        </w:r>
      </w:hyperlink>
      <w:r>
        <w:rPr>
          <w:strike/>
        </w:rPr>
        <w:t xml:space="preserve">, Rogers et al.</w:t>
      </w:r>
      <w:r>
        <w:rPr>
          <w:strike/>
        </w:rPr>
        <w:t xml:space="preserve"> </w:t>
      </w:r>
      <w:hyperlink w:anchor="ref-Rogers2019">
        <w:r>
          <w:rPr>
            <w:rStyle w:val="Hyperlink"/>
            <w:strike/>
          </w:rPr>
          <w:t xml:space="preserve">2019</w:t>
        </w:r>
      </w:hyperlink>
      <w:r>
        <w:rPr>
          <w:strike/>
        </w:rPr>
        <w:t xml:space="preserve">)</w:t>
      </w:r>
      <w:r>
        <w:rPr>
          <w:strike/>
        </w:rP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w:t>
      </w:r>
      <w:r>
        <w:rPr>
          <w:b/>
        </w:rPr>
        <w:t xml:space="preserve">???</w:t>
      </w:r>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w:t>
      </w:r>
      <w:r>
        <w:t xml:space="preserve"> </w:t>
      </w:r>
      <w:r>
        <w:rPr>
          <w:strike/>
        </w:rPr>
        <w:t xml:space="preserve">The National Environmental Satellite Data and Information Service recommends the CRW SST product and this is the primary dataset used in this study.</w:t>
      </w:r>
      <w:r>
        <w:t xml:space="preserve"> </w:t>
      </w:r>
      <w:r>
        <w:t xml:space="preserve">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t xml:space="preserve">[Need to make sure we use the new shapefile map for the GOA ESR region. Come to think of it - need to change the lookup tables on the AKFIN server, too.]</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CaptionedFigure"/>
      </w:pPr>
      <w:r>
        <w:drawing>
          <wp:inline>
            <wp:extent cx="5943600" cy="3272319"/>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3272319"/>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pPr>
        <w:pStyle w:val="CaptionedFigure"/>
      </w:pPr>
      <w:r>
        <w:t xml:space="preserve">Figure 3: : Configuration of AKFIN web service URL parameters. A) Basic structure of the URL B) Multiple areas and time components. C) Additional time arguments. D) Importing webservice data into R using the httr package.</w:t>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 The following example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rPr>
          <w:b/>
        </w:rPr>
        <w:t xml:space="preserve">SQL Code Input - 1</w:t>
      </w:r>
      <w:r>
        <w:t xml:space="preserve"> </w:t>
      </w: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rPr>
          <w:b/>
        </w:rPr>
        <w:t xml:space="preserve">Matching SST data with fishery-dependent data</w:t>
      </w:r>
      <w:r>
        <w:t xml:space="preserve"> </w:t>
      </w:r>
      <w:r>
        <w:t xml:space="preserve">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p>
      <w:pPr>
        <w:pStyle w:val="Heading1"/>
      </w:pPr>
      <w:bookmarkStart w:id="28" w:name="discussion"/>
      <w:r>
        <w:t xml:space="preserve">Discussion</w:t>
      </w:r>
      <w:bookmarkEnd w:id="28"/>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w:t>
      </w:r>
      <w:r>
        <w:t xml:space="preserve"> </w:t>
      </w:r>
      <w:r>
        <w:rPr>
          <w:b/>
        </w:rPr>
        <w:t xml:space="preserve">Web services have previously been used to improve data flows…</w:t>
      </w:r>
      <w:r>
        <w:t xml:space="preserve"> </w:t>
      </w:r>
      <w:r>
        <w:t xml:space="preserve">As we have demonstrated, these web services can be easily incorporated into workflows to support operational data applications, like R Shiny Apps (e.g. </w:t>
      </w:r>
      <w:hyperlink r:id="rId29">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BodyText"/>
      </w:pPr>
      <w:r>
        <w:t xml:space="preserve">#Supplement</w:t>
      </w:r>
      <w:r>
        <w:t xml:space="preserve"> </w:t>
      </w:r>
      <w:r>
        <w:t xml:space="preserve">The following section provides examples of R and SQL code that utilizes the AKFIN SST webservice or AKFIN backend SST data.</w:t>
      </w:r>
    </w:p>
    <w:p>
      <w:pPr>
        <w:pStyle w:val="BodyText"/>
      </w:pPr>
      <w:r>
        <w:rPr>
          <w:b/>
        </w:rPr>
        <w:t xml:space="preserve">R Code Input - 1</w:t>
      </w:r>
    </w:p>
    <w:p>
      <w:pPr>
        <w:pStyle w:val="SourceCode"/>
      </w:pPr>
      <w:r>
        <w:rPr>
          <w:rStyle w:val="CommentTok"/>
        </w:rPr>
        <w:t xml:space="preserve">#Install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#Web service query of sea surface temperature for NMFS Areas 640.</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Input - 2</w:t>
      </w:r>
    </w:p>
    <w:p>
      <w:pPr>
        <w:pStyle w:val="SourceCode"/>
      </w:pPr>
      <w:r>
        <w:rPr>
          <w:rStyle w:val="CommentTok"/>
        </w:rPr>
        <w:t xml:space="preserve">#Web service query of sea surface temperature for NMFS Areas 640 and 650, averaged for June, July, and August</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4-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- 3</w:t>
      </w:r>
    </w:p>
    <w:p>
      <w:pPr>
        <w:pStyle w:val="SourceCode"/>
      </w:pPr>
      <w:r>
        <w:rPr>
          <w:rStyle w:val="CommentTok"/>
        </w:rPr>
        <w:t xml:space="preserve">#The full time series yields more than 13,000 rows of data per area (i.e., daily data from 1985-01-01 to present). </w:t>
      </w:r>
      <w:r>
        <w:br w:type="textWrapping"/>
      </w:r>
      <w:r>
        <w:br w:type="textWrapping"/>
      </w: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[13,361 x 5] (S3: tbl_df/tbl/data.frame)</w:t>
      </w:r>
      <w:r>
        <w:br w:type="textWrapping"/>
      </w:r>
      <w:r>
        <w:rPr>
          <w:rStyle w:val="VerbatimChar"/>
        </w:rPr>
        <w:t xml:space="preserve">##  $ MEANSST  : num [1:13361] 6.06 5.89 5.78 5.76 5.78 5.92 6 5.92 5.85 5.83 ...</w:t>
      </w:r>
      <w:r>
        <w:br w:type="textWrapping"/>
      </w:r>
      <w:r>
        <w:rPr>
          <w:rStyle w:val="VerbatimChar"/>
        </w:rPr>
        <w:t xml:space="preserve">##  $ NMFSAREA : chr [1:13361] "640" "640" "640" "640" ...</w:t>
      </w:r>
      <w:r>
        <w:br w:type="textWrapping"/>
      </w:r>
      <w:r>
        <w:rPr>
          <w:rStyle w:val="VerbatimChar"/>
        </w:rPr>
        <w:t xml:space="preserve">##  $ READ_DATE: chr [1:13361] "1985-01-01T12:00:00Z" "1985-01-02T12:00:00Z" "1985-01-03T12:00:00Z" "1985-01-04T12:00:00Z" ...</w:t>
      </w:r>
      <w:r>
        <w:br w:type="textWrapping"/>
      </w:r>
      <w:r>
        <w:rPr>
          <w:rStyle w:val="VerbatimChar"/>
        </w:rPr>
        <w:t xml:space="preserve">##  $ YEAR     : chr [1:13361] "1985" "1985" "1985" "1985" ...</w:t>
      </w:r>
      <w:r>
        <w:br w:type="textWrapping"/>
      </w:r>
      <w:r>
        <w:rPr>
          <w:rStyle w:val="VerbatimChar"/>
        </w:rPr>
        <w:t xml:space="preserve">##  $ JULIAN   : chr [1:13361] "001" "002" "003" "004" ...</w:t>
      </w:r>
    </w:p>
    <w:p>
      <w:pPr>
        <w:pStyle w:val="FirstParagraph"/>
      </w:pPr>
      <w:r>
        <w:rPr>
          <w:b/>
        </w:rPr>
        <w:t xml:space="preserve">R Code Input - 4</w:t>
      </w:r>
    </w:p>
    <w:p>
      <w:pPr>
        <w:pStyle w:val="SourceCode"/>
      </w:pPr>
      <w:r>
        <w:rPr>
          <w:rStyle w:val="CommentTok"/>
        </w:rPr>
        <w:t xml:space="preserve">#SST in NMFS area 640 in 1987.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6-1.png" id="0" name="Picture"/>
                    <pic:cNvPicPr>
                      <a:picLocks noChangeArrowheads="1" noChangeAspect="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- 5</w:t>
      </w:r>
    </w:p>
    <w:p>
      <w:pPr>
        <w:pStyle w:val="SourceCode"/>
      </w:pPr>
      <w:r>
        <w:rPr>
          <w:rStyle w:val="CommentTok"/>
        </w:rPr>
        <w:t xml:space="preserve">#You can query a specific date with "read_date". For example SST in MFS 640 on Y2K.</w:t>
      </w:r>
      <w:r>
        <w:br w:type="textWrapping"/>
      </w:r>
      <w:r>
        <w:br w:type="textWrapping"/>
      </w: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- 6</w:t>
      </w:r>
    </w:p>
    <w:p>
      <w:pPr>
        <w:pStyle w:val="SourceCode"/>
      </w:pPr>
      <w:r>
        <w:rPr>
          <w:rStyle w:val="CommentTok"/>
        </w:rPr>
        <w:t xml:space="preserve">#You can specify a number of days prior to any date using a "days_back" parameter specification. For example the three days before Y2K. </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- 7</w:t>
      </w:r>
    </w:p>
    <w:p>
      <w:pPr>
        <w:pStyle w:val="SourceCode"/>
      </w:pPr>
      <w:r>
        <w:rPr>
          <w:rStyle w:val="CommentTok"/>
        </w:rPr>
        <w:t xml:space="preserve">#If "read_date" is not specified, "days_back" returns the most recent SSTs. Here are SSTs for the last three days in NMFS 640.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13.68</w:t>
            </w:r>
          </w:p>
        </w:tc>
        <w:tc>
          <w:p>
            <w:pPr>
              <w:pStyle w:val="Compact"/>
              <w:jc w:val="left"/>
            </w:pPr>
            <w:r>
              <w:t xml:space="preserve">640</w:t>
            </w:r>
          </w:p>
        </w:tc>
        <w:tc>
          <w:p>
            <w:pPr>
              <w:pStyle w:val="Compact"/>
              <w:jc w:val="left"/>
            </w:pPr>
            <w:r>
              <w:t xml:space="preserve">2021-07-30T12:00:00Z</w:t>
            </w:r>
          </w:p>
        </w:tc>
        <w:tc>
          <w:p>
            <w:pPr>
              <w:pStyle w:val="Compact"/>
              <w:jc w:val="left"/>
            </w:pPr>
            <w:r>
              <w:t xml:space="preserve">2021</w:t>
            </w:r>
          </w:p>
        </w:tc>
        <w:tc>
          <w:p>
            <w:pPr>
              <w:pStyle w:val="Compact"/>
              <w:jc w:val="left"/>
            </w:pPr>
            <w:r>
              <w:t xml:space="preserve">211</w:t>
            </w:r>
          </w:p>
        </w:tc>
      </w:tr>
      <w:tr>
        <w:tc>
          <w:p>
            <w:pPr>
              <w:pStyle w:val="Compact"/>
              <w:jc w:val="right"/>
            </w:pPr>
            <w:r>
              <w:t xml:space="preserve">13.81</w:t>
            </w:r>
          </w:p>
        </w:tc>
        <w:tc>
          <w:p>
            <w:pPr>
              <w:pStyle w:val="Compact"/>
              <w:jc w:val="left"/>
            </w:pPr>
            <w:r>
              <w:t xml:space="preserve">640</w:t>
            </w:r>
          </w:p>
        </w:tc>
        <w:tc>
          <w:p>
            <w:pPr>
              <w:pStyle w:val="Compact"/>
              <w:jc w:val="left"/>
            </w:pPr>
            <w:r>
              <w:t xml:space="preserve">2021-07-31T12:00:00Z</w:t>
            </w:r>
          </w:p>
        </w:tc>
        <w:tc>
          <w:p>
            <w:pPr>
              <w:pStyle w:val="Compact"/>
              <w:jc w:val="left"/>
            </w:pPr>
            <w:r>
              <w:t xml:space="preserve">2021</w:t>
            </w:r>
          </w:p>
        </w:tc>
        <w:tc>
          <w:p>
            <w:pPr>
              <w:pStyle w:val="Compact"/>
              <w:jc w:val="left"/>
            </w:pPr>
            <w:r>
              <w:t xml:space="preserve">212</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- 8</w:t>
      </w:r>
    </w:p>
    <w:p>
      <w:pPr>
        <w:pStyle w:val="SourceCode"/>
      </w:pPr>
      <w:r>
        <w:rPr>
          <w:rStyle w:val="CommentTok"/>
        </w:rPr>
        <w:t xml:space="preserve">#To query multiple areas, separate the values by a comma. For example to query NMFS areas 640 and 650 (Southeast Alaska outside waters).</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r>
        <w:tc>
          <w:p>
            <w:pPr>
              <w:pStyle w:val="Compact"/>
              <w:jc w:val="right"/>
            </w:pPr>
            <w:r>
              <w:t xml:space="preserve">14.52</w:t>
            </w:r>
          </w:p>
        </w:tc>
        <w:tc>
          <w:p>
            <w:pPr>
              <w:pStyle w:val="Compact"/>
              <w:jc w:val="left"/>
            </w:pPr>
            <w:r>
              <w:t xml:space="preserve">650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- 9</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Input - 10</w:t>
      </w:r>
    </w:p>
    <w:p>
      <w:pPr>
        <w:pStyle w:val="SourceCode"/>
      </w:pPr>
      <w:r>
        <w:rPr>
          <w:rStyle w:val="CommentTok"/>
        </w:rPr>
        <w:t xml:space="preserve">#To query the data for the "Southeastern Bering Sea", for example, add "ecosystem_sub=Southeastern%20Bering%20Sea", where spaces are filled by "%20".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10.13</w:t>
            </w:r>
          </w:p>
        </w:tc>
        <w:tc>
          <w:p>
            <w:pPr>
              <w:pStyle w:val="Compact"/>
              <w:jc w:val="left"/>
            </w:pPr>
            <w:r>
              <w:t xml:space="preserve">Southeastern Bering Sea</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bl>
    <w:p>
      <w:pPr>
        <w:pStyle w:val="BodyText"/>
      </w:pPr>
      <w:r>
        <w:rPr>
          <w:b/>
        </w:rPr>
        <w:t xml:space="preserve">R Code Input - 11</w:t>
      </w:r>
    </w:p>
    <w:p>
      <w:pPr>
        <w:pStyle w:val="SourceCode"/>
      </w:pPr>
      <w:r>
        <w:rPr>
          <w:rStyle w:val="CommentTok"/>
        </w:rPr>
        <w:t xml:space="preserve">#Eastern GOA and Eastern Aleutians SST from 1985 - Present."</w:t>
      </w:r>
      <w:r>
        <w:br w:type="textWrapping"/>
      </w:r>
      <w:r>
        <w:br w:type="textWrapping"/>
      </w:r>
      <w:r>
        <w:rPr>
          <w:rStyle w:val="CommentTok"/>
        </w:rPr>
        <w:t xml:space="preserve"># This is Fig. 4 in the main body</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- 12</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- 13</w:t>
      </w:r>
    </w:p>
    <w:p>
      <w:pPr>
        <w:pStyle w:val="SourceCode"/>
      </w:pPr>
      <w:r>
        <w:rPr>
          <w:rStyle w:val="CommentTok"/>
        </w:rPr>
        <w:t xml:space="preserve">#Marine heatwave calculation (Schlegel et al. 2018) for NMFS region 640.</w:t>
      </w:r>
      <w:r>
        <w:br w:type="textWrapping"/>
      </w:r>
      <w:r>
        <w:rPr>
          <w:rStyle w:val="CommentTok"/>
        </w:rPr>
        <w:t xml:space="preserve">#Step 1: Get SST data using httr</w:t>
      </w:r>
      <w:r>
        <w:br w:type="textWrapping"/>
      </w:r>
      <w:r>
        <w:br w:type="textWrapping"/>
      </w: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br w:type="textWrapping"/>
      </w:r>
      <w:r>
        <w:rPr>
          <w:rStyle w:val="NormalTok"/>
        </w:rPr>
        <w:t xml:space="preserve">                </w:t>
      </w:r>
      <w:r>
        <w:rPr>
          <w:rStyle w:val="DataTypeTok"/>
        </w:rPr>
        <w:t xml:space="preserve">meansst=</w:t>
      </w:r>
      <w:r>
        <w:rPr>
          <w:rStyle w:val="NormalTok"/>
        </w:rPr>
        <w:t xml:space="preserve">MEANSST,</w:t>
      </w:r>
      <w:r>
        <w:br w:type="textWrapping"/>
      </w:r>
      <w:r>
        <w:rPr>
          <w:rStyle w:val="NormalTok"/>
        </w:rPr>
        <w:t xml:space="preserve">                NMFSAREA) </w:t>
      </w:r>
      <w:r>
        <w:rPr>
          <w:rStyle w:val="CommentTok"/>
        </w:rPr>
        <w:t xml:space="preserve">#simplify data frame for clarity.</w:t>
      </w:r>
    </w:p>
    <w:p>
      <w:pPr>
        <w:pStyle w:val="FirstParagraph"/>
      </w:pPr>
      <w:r>
        <w:rPr>
          <w:b/>
        </w:rPr>
        <w:t xml:space="preserve">Oracle database queries</w:t>
      </w:r>
    </w:p>
    <w:p>
      <w:pPr>
        <w:pStyle w:val="BodyText"/>
      </w:pPr>
      <w:r>
        <w:rPr>
          <w:b/>
        </w:rPr>
        <w:t xml:space="preserve">R Code Input - 14</w:t>
      </w:r>
    </w:p>
    <w:p>
      <w:pPr>
        <w:pStyle w:val="SourceCode"/>
      </w:pPr>
      <w:r>
        <w:rPr>
          <w:rStyle w:val="CommentTok"/>
        </w:rPr>
        <w:t xml:space="preserve">#Connect to the AKFIN database with R</w:t>
      </w:r>
      <w:r>
        <w:br w:type="textWrapping"/>
      </w:r>
      <w:r>
        <w:br w:type="textWrapping"/>
      </w:r>
      <w:r>
        <w:rPr>
          <w:rStyle w:val="CommentTok"/>
        </w:rPr>
        <w:t xml:space="preserve">#  Load the AKFIN database user name and password from an external file.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Input - 1</w:t>
      </w:r>
    </w:p>
    <w:p>
      <w:pPr>
        <w:pStyle w:val="SourceCode"/>
      </w:pPr>
      <w:r>
        <w:rPr>
          <w:rStyle w:val="CommentTok"/>
        </w:rPr>
        <w:t xml:space="preserve">-- Spatial lookup table on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rPr>
          <w:b/>
        </w:rPr>
        <w:t xml:space="preserve">SQL Code Input - 2</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Input - 3</w:t>
      </w:r>
    </w:p>
    <w:p>
      <w:pPr>
        <w:pStyle w:val="SourceCode"/>
      </w:pPr>
      <w:r>
        <w:rPr>
          <w:rStyle w:val="CommentTok"/>
        </w:rPr>
        <w:t xml:space="preserve">-- query SST (“TEMP”) data that fall within a crab management area and add a field for “Year”</w:t>
      </w:r>
      <w:r>
        <w:br w:type="textWrapping"/>
      </w:r>
      <w:r>
        <w:br w:type="textWrapping"/>
      </w: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1989-01-03 12:00:00</w:t>
            </w:r>
          </w:p>
        </w:tc>
        <w:tc>
          <w:p>
            <w:pPr>
              <w:pStyle w:val="Compact"/>
              <w:jc w:val="right"/>
            </w:pPr>
            <w:r>
              <w:t xml:space="preserve">1.85</w:t>
            </w:r>
          </w:p>
        </w:tc>
        <w:tc>
          <w:p>
            <w:pPr>
              <w:pStyle w:val="Compact"/>
              <w:jc w:val="left"/>
            </w:pPr>
            <w:r>
              <w:t xml:space="preserve">1989</w:t>
            </w:r>
          </w:p>
        </w:tc>
        <w:tc>
          <w:p>
            <w:pPr>
              <w:pStyle w:val="Compact"/>
              <w:jc w:val="left"/>
            </w:pPr>
            <w:r>
              <w:t xml:space="preserve">stmatts</w:t>
            </w:r>
          </w:p>
        </w:tc>
      </w:tr>
      <w:tr>
        <w:tc>
          <w:p>
            <w:pPr>
              <w:pStyle w:val="Compact"/>
              <w:jc w:val="left"/>
            </w:pPr>
            <w:r>
              <w:t xml:space="preserve">1989-01-02 12:00:00</w:t>
            </w:r>
          </w:p>
        </w:tc>
        <w:tc>
          <w:p>
            <w:pPr>
              <w:pStyle w:val="Compact"/>
              <w:jc w:val="right"/>
            </w:pPr>
            <w:r>
              <w:t xml:space="preserve">1.89</w:t>
            </w:r>
          </w:p>
        </w:tc>
        <w:tc>
          <w:p>
            <w:pPr>
              <w:pStyle w:val="Compact"/>
              <w:jc w:val="left"/>
            </w:pPr>
            <w:r>
              <w:t xml:space="preserve">1989</w:t>
            </w:r>
          </w:p>
        </w:tc>
        <w:tc>
          <w:p>
            <w:pPr>
              <w:pStyle w:val="Compact"/>
              <w:jc w:val="left"/>
            </w:pPr>
            <w:r>
              <w:t xml:space="preserve">stmatts</w:t>
            </w:r>
          </w:p>
        </w:tc>
      </w:tr>
      <w:tr>
        <w:tc>
          <w:p>
            <w:pPr>
              <w:pStyle w:val="Compact"/>
              <w:jc w:val="left"/>
            </w:pPr>
            <w:r>
              <w:t xml:space="preserve">1989-01-01 12:00:00</w:t>
            </w:r>
          </w:p>
        </w:tc>
        <w:tc>
          <w:p>
            <w:pPr>
              <w:pStyle w:val="Compact"/>
              <w:jc w:val="right"/>
            </w:pPr>
            <w:r>
              <w:t xml:space="preserve">2.20</w:t>
            </w:r>
          </w:p>
        </w:tc>
        <w:tc>
          <w:p>
            <w:pPr>
              <w:pStyle w:val="Compact"/>
              <w:jc w:val="left"/>
            </w:pPr>
            <w:r>
              <w:t xml:space="preserve">1989</w:t>
            </w:r>
          </w:p>
        </w:tc>
        <w:tc>
          <w:p>
            <w:pPr>
              <w:pStyle w:val="Compact"/>
              <w:jc w:val="left"/>
            </w:pPr>
            <w:r>
              <w:t xml:space="preserve">stmatts</w:t>
            </w:r>
          </w:p>
        </w:tc>
      </w:tr>
      <w:tr>
        <w:tc>
          <w:p>
            <w:pPr>
              <w:pStyle w:val="Compact"/>
              <w:jc w:val="left"/>
            </w:pPr>
            <w:r>
              <w:t xml:space="preserve">1989-01-05 12:00:00</w:t>
            </w:r>
          </w:p>
        </w:tc>
        <w:tc>
          <w:p>
            <w:pPr>
              <w:pStyle w:val="Compact"/>
              <w:jc w:val="right"/>
            </w:pPr>
            <w:r>
              <w:t xml:space="preserve">2.14</w:t>
            </w:r>
          </w:p>
        </w:tc>
        <w:tc>
          <w:p>
            <w:pPr>
              <w:pStyle w:val="Compact"/>
              <w:jc w:val="left"/>
            </w:pPr>
            <w:r>
              <w:t xml:space="preserve">1989</w:t>
            </w:r>
          </w:p>
        </w:tc>
        <w:tc>
          <w:p>
            <w:pPr>
              <w:pStyle w:val="Compact"/>
              <w:jc w:val="left"/>
            </w:pPr>
            <w:r>
              <w:t xml:space="preserve">stmatts</w:t>
            </w:r>
          </w:p>
        </w:tc>
      </w:tr>
      <w:tr>
        <w:tc>
          <w:p>
            <w:pPr>
              <w:pStyle w:val="Compact"/>
              <w:jc w:val="left"/>
            </w:pPr>
            <w:r>
              <w:t xml:space="preserve">1989-01-04 12:00:00</w:t>
            </w:r>
          </w:p>
        </w:tc>
        <w:tc>
          <w:p>
            <w:pPr>
              <w:pStyle w:val="Compact"/>
              <w:jc w:val="right"/>
            </w:pPr>
            <w:r>
              <w:t xml:space="preserve">1.90</w:t>
            </w:r>
          </w:p>
        </w:tc>
        <w:tc>
          <w:p>
            <w:pPr>
              <w:pStyle w:val="Compact"/>
              <w:jc w:val="left"/>
            </w:pPr>
            <w:r>
              <w:t xml:space="preserve">1989</w:t>
            </w:r>
          </w:p>
        </w:tc>
        <w:tc>
          <w:p>
            <w:pPr>
              <w:pStyle w:val="Compact"/>
              <w:jc w:val="left"/>
            </w:pPr>
            <w:r>
              <w:t xml:space="preserve">stmatts</w:t>
            </w:r>
          </w:p>
        </w:tc>
      </w:tr>
    </w:tbl>
    <w:p>
      <w:pPr>
        <w:pStyle w:val="BodyText"/>
      </w:pPr>
      <w:r>
        <w:rPr>
          <w:b/>
        </w:rPr>
        <w:t xml:space="preserve">R / SQL Code Input - 1</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Input - 2</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 don’t actually have access to council.comprehensive_obs_v though I can access</w:t>
      </w:r>
      <w:r>
        <w:t xml:space="preserve"> </w:t>
      </w:r>
      <w:r>
        <w:t xml:space="preserve">council.comprehensive_obs</w:t>
      </w:r>
    </w:p>
    <w:p>
      <w:pPr>
        <w:pStyle w:val="BodyText"/>
      </w:pPr>
      <w:r>
        <w:t xml:space="preserve">Probably sufficient below to just make a plot of shark v. SST instead of the whole prediction stuff.</w:t>
      </w:r>
      <w:r>
        <w:t xml:space="preserve"> </w:t>
      </w:r>
      <w:r>
        <w:t xml:space="preserve">But I’m happy with whatever really!</w:t>
      </w:r>
    </w:p>
    <w:p>
      <w:pPr>
        <w:pStyle w:val="BodyText"/>
      </w:pPr>
      <w:r>
        <w:rPr>
          <w:b/>
        </w:rPr>
        <w:t xml:space="preserve">R / SQL Code Input - 3</w:t>
      </w:r>
    </w:p>
    <w:p>
      <w:pPr>
        <w:pStyle w:val="SourceCode"/>
      </w:pPr>
      <w:r>
        <w:rPr>
          <w:rStyle w:val="CommentTok"/>
        </w:rPr>
        <w:t xml:space="preserve">#Connect MUR SST with observer data to model whether SST influenced salmon shark catch in the GOA trawl fleet</w:t>
      </w:r>
      <w:r>
        <w:br w:type="textWrapping"/>
      </w:r>
      <w:r>
        <w:rPr>
          <w:rStyle w:val="NormalTok"/>
        </w:rPr>
        <w:t xml:space="preserve">  </w:t>
      </w:r>
      <w:r>
        <w:rPr>
          <w:rStyle w:val="CommentTok"/>
        </w:rPr>
        <w:t xml:space="preserve">#Fortunately AKFIN already connected observer data with MUR SST in the comprehensive observer data view so we can just query that</w:t>
      </w:r>
      <w:r>
        <w:br w:type="textWrapping"/>
      </w:r>
      <w:r>
        <w:rPr>
          <w:rStyle w:val="NormalTok"/>
        </w:rPr>
        <w:t xml:space="preserve">  </w:t>
      </w:r>
      <w:r>
        <w:rPr>
          <w:rStyle w:val="CommentTok"/>
        </w:rPr>
        <w:t xml:space="preserve">#Data are limited to GOA (not AI) and pelagic trawl gear</w:t>
      </w:r>
      <w:r>
        <w:br w:type="textWrapping"/>
      </w:r>
      <w:r>
        <w:rPr>
          <w:rStyle w:val="NormalTok"/>
        </w:rPr>
        <w:t xml:space="preserve">mursst&lt;-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 </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w:t>
      </w:r>
      <w:r>
        <w:br w:type="textWrapping"/>
      </w:r>
      <w:r>
        <w:br w:type="textWrapping"/>
      </w:r>
      <w:r>
        <w:rPr>
          <w:rStyle w:val="NormalTok"/>
        </w:rPr>
        <w:t xml:space="preserve">mursst&lt;-mursst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shark=</w:t>
      </w:r>
      <w:r>
        <w:rPr>
          <w:rStyle w:val="KeywordTok"/>
        </w:rPr>
        <w:t xml:space="preserve">ifelse</w:t>
      </w:r>
      <w:r>
        <w:rPr>
          <w:rStyle w:val="NormalTok"/>
        </w:rPr>
        <w:t xml:space="preserve">(</w:t>
      </w:r>
      <w:r>
        <w:rPr>
          <w:rStyle w:val="KeywordTok"/>
        </w:rPr>
        <w:t xml:space="preserve">is.na</w:t>
      </w:r>
      <w:r>
        <w:rPr>
          <w:rStyle w:val="NormalTok"/>
        </w:rPr>
        <w:t xml:space="preserve">(OBS_SPECIE_CODE),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model&lt;-</w:t>
      </w:r>
      <w:r>
        <w:rPr>
          <w:rStyle w:val="KeywordTok"/>
        </w:rPr>
        <w:t xml:space="preserve">glm</w:t>
      </w:r>
      <w:r>
        <w:rPr>
          <w:rStyle w:val="NormalTok"/>
        </w:rPr>
        <w:t xml:space="preserve">(shark</w:t>
      </w:r>
      <w:r>
        <w:rPr>
          <w:rStyle w:val="OperatorTok"/>
        </w:rPr>
        <w:t xml:space="preserve">~</w:t>
      </w:r>
      <w:r>
        <w:rPr>
          <w:rStyle w:val="NormalTok"/>
        </w:rPr>
        <w:t xml:space="preserve">SST, </w:t>
      </w:r>
      <w:r>
        <w:rPr>
          <w:rStyle w:val="DataTypeTok"/>
        </w:rPr>
        <w:t xml:space="preserve">data=</w:t>
      </w:r>
      <w:r>
        <w:rPr>
          <w:rStyle w:val="NormalTok"/>
        </w:rPr>
        <w:t xml:space="preserve">mursst,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shark ~ SST, family = "binomial", data = mursst)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-0.3926  -0.2395  -0.1987  -0.1611   3.0547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-4.92816    0.17248 -28.573  &lt; 2e-16 ***</w:t>
      </w:r>
      <w:r>
        <w:br w:type="textWrapping"/>
      </w:r>
      <w:r>
        <w:rPr>
          <w:rStyle w:val="VerbatimChar"/>
        </w:rPr>
        <w:t xml:space="preserve">## SST          0.13953    0.01773   7.868 3.61e-15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2602.3  on 12096  degrees of freedom</w:t>
      </w:r>
      <w:r>
        <w:br w:type="textWrapping"/>
      </w:r>
      <w:r>
        <w:rPr>
          <w:rStyle w:val="VerbatimChar"/>
        </w:rPr>
        <w:t xml:space="preserve">## Residual deviance: 2539.7  on 12095  degrees of freedom</w:t>
      </w:r>
      <w:r>
        <w:br w:type="textWrapping"/>
      </w:r>
      <w:r>
        <w:rPr>
          <w:rStyle w:val="VerbatimChar"/>
        </w:rPr>
        <w:t xml:space="preserve">## AIC: 2543.7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dummy&lt;-</w:t>
      </w:r>
      <w:r>
        <w:rPr>
          <w:rStyle w:val="KeywordTok"/>
        </w:rPr>
        <w:t xml:space="preserve">data.frame</w:t>
      </w:r>
      <w:r>
        <w:rPr>
          <w:rStyle w:val="NormalTok"/>
        </w:rPr>
        <w:t xml:space="preserve">(</w:t>
      </w:r>
      <w:r>
        <w:rPr>
          <w:rStyle w:val="DataTypeTok"/>
        </w:rPr>
        <w:t xml:space="preserve">SST=</w:t>
      </w:r>
      <w:r>
        <w:rPr>
          <w:rStyle w:val="KeywordTok"/>
        </w:rPr>
        <w:t xml:space="preserve">seq</w:t>
      </w:r>
      <w:r>
        <w:rPr>
          <w:rStyle w:val="NormalTok"/>
        </w:rPr>
        <w:t xml:space="preserve">(</w:t>
      </w:r>
      <w:r>
        <w:rPr>
          <w:rStyle w:val="KeywordTok"/>
        </w:rPr>
        <w:t xml:space="preserve">min</w:t>
      </w:r>
      <w:r>
        <w:rPr>
          <w:rStyle w:val="NormalTok"/>
        </w:rPr>
        <w:t xml:space="preserve">(mursst</w:t>
      </w:r>
      <w:r>
        <w:rPr>
          <w:rStyle w:val="OperatorTok"/>
        </w:rPr>
        <w:t xml:space="preserve">$</w:t>
      </w:r>
      <w:r>
        <w:rPr>
          <w:rStyle w:val="NormalTok"/>
        </w:rPr>
        <w:t xml:space="preserve">SST), </w:t>
      </w:r>
      <w:r>
        <w:rPr>
          <w:rStyle w:val="KeywordTok"/>
        </w:rPr>
        <w:t xml:space="preserve">max</w:t>
      </w:r>
      <w:r>
        <w:rPr>
          <w:rStyle w:val="NormalTok"/>
        </w:rPr>
        <w:t xml:space="preserve">(mursst</w:t>
      </w:r>
      <w:r>
        <w:rPr>
          <w:rStyle w:val="OperatorTok"/>
        </w:rPr>
        <w:t xml:space="preserve">$</w:t>
      </w:r>
      <w:r>
        <w:rPr>
          <w:rStyle w:val="NormalTok"/>
        </w:rPr>
        <w:t xml:space="preserve">SST), </w:t>
      </w:r>
      <w:r>
        <w:rPr>
          <w:rStyle w:val="DataTypeTok"/>
        </w:rPr>
        <w:t xml:space="preserve">len=</w:t>
      </w:r>
      <w:r>
        <w:rPr>
          <w:rStyle w:val="DecValTok"/>
        </w:rPr>
        <w:t xml:space="preserve">500</w:t>
      </w:r>
      <w:r>
        <w:rPr>
          <w:rStyle w:val="NormalTok"/>
        </w:rPr>
        <w:t xml:space="preserve">))</w:t>
      </w:r>
      <w:r>
        <w:br w:type="textWrapping"/>
      </w:r>
      <w:r>
        <w:rPr>
          <w:rStyle w:val="NormalTok"/>
        </w:rPr>
        <w:t xml:space="preserve">dummy</w:t>
      </w:r>
      <w:r>
        <w:rPr>
          <w:rStyle w:val="OperatorTok"/>
        </w:rPr>
        <w:t xml:space="preserve">$</w:t>
      </w:r>
      <w:r>
        <w:rPr>
          <w:rStyle w:val="NormalTok"/>
        </w:rPr>
        <w:t xml:space="preserve">shark&lt;-</w:t>
      </w:r>
      <w:r>
        <w:rPr>
          <w:rStyle w:val="KeywordTok"/>
        </w:rPr>
        <w:t xml:space="preserve">predict</w:t>
      </w:r>
      <w:r>
        <w:rPr>
          <w:rStyle w:val="NormalTok"/>
        </w:rPr>
        <w:t xml:space="preserve">(model, dummy,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mursst,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(shark </w:t>
      </w:r>
      <w:r>
        <w:rPr>
          <w:rStyle w:val="OperatorTok"/>
        </w:rPr>
        <w:t xml:space="preserve">~</w:t>
      </w:r>
      <w:r>
        <w:rPr>
          <w:rStyle w:val="StringTok"/>
        </w:rPr>
        <w:t xml:space="preserve"> </w:t>
      </w:r>
      <w:r>
        <w:rPr>
          <w:rStyle w:val="NormalTok"/>
        </w:rPr>
        <w:t xml:space="preserve">SST, </w:t>
      </w:r>
      <w:r>
        <w:rPr>
          <w:rStyle w:val="DataTypeTok"/>
        </w:rPr>
        <w:t xml:space="preserve">data=</w:t>
      </w:r>
      <w:r>
        <w:rPr>
          <w:rStyle w:val="NormalTok"/>
        </w:rPr>
        <w:t xml:space="preserve">dummy, </w:t>
      </w:r>
      <w:r>
        <w:rPr>
          <w:rStyle w:val="DataTypeTok"/>
        </w:rPr>
        <w:t xml:space="preserve">lwd=</w:t>
      </w:r>
      <w:r>
        <w:rPr>
          <w:rStyle w:val="DecValTok"/>
        </w:rPr>
        <w:t xml:space="preserve">2</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SourceCode"/>
      </w:pPr>
      <w:r>
        <w:rPr>
          <w:rStyle w:val="NormalTok"/>
        </w:rPr>
        <w:t xml:space="preserve">mursst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shark=</w:t>
      </w:r>
      <w:r>
        <w:rPr>
          <w:rStyle w:val="KeywordTok"/>
        </w:rPr>
        <w:t xml:space="preserve">ifelse</w:t>
      </w:r>
      <w:r>
        <w:rPr>
          <w:rStyle w:val="NormalTok"/>
        </w:rPr>
        <w:t xml:space="preserve">(</w:t>
      </w:r>
      <w:r>
        <w:rPr>
          <w:rStyle w:val="KeywordTok"/>
        </w:rPr>
        <w:t xml:space="preserve">is.na</w:t>
      </w:r>
      <w:r>
        <w:rPr>
          <w:rStyle w:val="NormalTok"/>
        </w:rPr>
        <w:t xml:space="preserve">(OBS_SPECIE_CODE),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(shark,SST))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2.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38" w:name="bibliography"/>
      <w:r>
        <w:t xml:space="preserve">References</w:t>
      </w:r>
      <w:bookmarkEnd w:id="38"/>
    </w:p>
    <w:bookmarkStart w:id="60" w:name="refs"/>
    <w:bookmarkStart w:id="39"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39"/>
    <w:bookmarkStart w:id="40"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0"/>
    <w:bookmarkStart w:id="41" w:name="ref-Ferriss2020"/>
    <w:p>
      <w:pPr>
        <w:pStyle w:val="Bibliography"/>
      </w:pPr>
      <w:r>
        <w:t xml:space="preserve">Ferriss B, Zador S. 2020. Ecosystem Status Report for the Gulf of Alaska, Stock Assessment and Fishery Evaluation Report..</w:t>
      </w:r>
      <w:r>
        <w:t xml:space="preserve"> </w:t>
      </w:r>
    </w:p>
    <w:bookmarkEnd w:id="41"/>
    <w:bookmarkStart w:id="42"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2"/>
    <w:bookmarkStart w:id="43"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3"/>
    <w:bookmarkStart w:id="44"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4"/>
    <w:bookmarkStart w:id="45" w:name="ref-Haynie2012"/>
    <w:p>
      <w:pPr>
        <w:pStyle w:val="Bibliography"/>
      </w:pPr>
      <w:r>
        <w:t xml:space="preserve">Haynie AC, Pfeiffer L. 2012. Why economics matters for understanding the effects of climate change on fisheries. ICES Journal of Marine Science 69: 1160–1167.</w:t>
      </w:r>
      <w:r>
        <w:t xml:space="preserve"> </w:t>
      </w:r>
    </w:p>
    <w:bookmarkEnd w:id="45"/>
    <w:bookmarkStart w:id="46"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6"/>
    <w:bookmarkStart w:id="47"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7"/>
    <w:bookmarkStart w:id="48"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48"/>
    <w:bookmarkStart w:id="49"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49"/>
    <w:bookmarkStart w:id="50"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0"/>
    <w:bookmarkStart w:id="51"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1"/>
    <w:bookmarkStart w:id="52" w:name="ref-Ortiz2020"/>
    <w:p>
      <w:pPr>
        <w:pStyle w:val="Bibliography"/>
      </w:pPr>
      <w:r>
        <w:t xml:space="preserve">Ortiz I, Zador S. 2020. Ecosystem Status Report 2020: Aleutian Islands, Stock Assessment and Fishery Evaluation Report..</w:t>
      </w:r>
      <w:r>
        <w:t xml:space="preserve"> </w:t>
      </w:r>
    </w:p>
    <w:bookmarkEnd w:id="52"/>
    <w:bookmarkStart w:id="53"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3"/>
    <w:bookmarkStart w:id="54"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4"/>
    <w:bookmarkStart w:id="55" w:name="ref-Siddon2020"/>
    <w:p>
      <w:pPr>
        <w:pStyle w:val="Bibliography"/>
      </w:pPr>
      <w:r>
        <w:t xml:space="preserve">Siddon E. 2020. Ecosystem Status Report for the Eastern Bering Sea, Stock Assessment and Fishery Evaluation Report..</w:t>
      </w:r>
      <w:r>
        <w:t xml:space="preserve"> </w:t>
      </w:r>
    </w:p>
    <w:bookmarkEnd w:id="55"/>
    <w:bookmarkStart w:id="56" w:name="ref-Simons2020"/>
    <w:p>
      <w:pPr>
        <w:pStyle w:val="Bibliography"/>
      </w:pPr>
      <w:r>
        <w:t xml:space="preserve">Simons B. 2020. ERDDAP..</w:t>
      </w:r>
      <w:r>
        <w:t xml:space="preserve"> </w:t>
      </w:r>
    </w:p>
    <w:bookmarkEnd w:id="56"/>
    <w:bookmarkStart w:id="57"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7"/>
    <w:bookmarkStart w:id="58" w:name="ref-Watson2018"/>
    <w:p>
      <w:pPr>
        <w:pStyle w:val="Bibliography"/>
      </w:pPr>
      <w:r>
        <w:t xml:space="preserve">Watson JT, Haynie AC. 2018. Paths to resilience: Alaska pollock fleet uses multiple fishing strategies to buffer against environmental change in the Bering Sea. Can. J. Fish. Aquat. Sci 75: 1977–1989.</w:t>
      </w:r>
      <w:r>
        <w:t xml:space="preserve"> </w:t>
      </w:r>
    </w:p>
    <w:bookmarkEnd w:id="58"/>
    <w:bookmarkStart w:id="59"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59"/>
    <w:bookmarkEnd w:id="60"/>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29"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2021-08-04T03:22:20Z</dcterms:created>
  <dcterms:modified xsi:type="dcterms:W3CDTF">2021-08-04T03:22:20Z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