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6.jpg" ContentType="image/jpeg"/>
  <Override PartName="/word/media/rId37.png" ContentType="image/png"/>
  <Override PartName="/word/media/rId39.png" ContentType="image/png"/>
  <Override PartName="/word/media/rId38.png" ContentType="image/png"/>
  <Override PartName="/word/media/rId34.png" ContentType="image/png"/>
  <Override PartName="/word/media/rId35.png" ContentType="image/png"/>
  <Override PartName="/word/media/rId36.png" ContentType="image/png"/>
  <Override PartName="/word/media/rId25.png" ContentType="image/png"/>
  <Override PartName="/word/media/rId33.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X3f983d0eee441043729633edc9f8e1c8a3c366d"/>
      <w:r>
        <w:rPr>
          <w:rStyle w:val="VerbatimChar"/>
        </w:rPr>
        <w:t xml:space="preserve">Automated and operational access to environmental data for Alaska’s management areas</w:t>
      </w:r>
      <w:bookmarkEnd w:id="20"/>
    </w:p>
    <w:p>
      <w:pPr>
        <w:pStyle w:val="FirstParagraph"/>
      </w:pPr>
      <w:r>
        <w:rPr>
          <w:rStyle w:val="VerbatimChar"/>
        </w:rPr>
        <w:t xml:space="preserve">Jordan T Watson and Matthew W Callahan</w:t>
      </w:r>
    </w:p>
    <w:p>
      <w:pPr>
        <w:pStyle w:val="BodyText"/>
      </w:pPr>
    </w:p>
    <w:p>
      <w:pPr>
        <w:pStyle w:val="Heading1"/>
      </w:pPr>
      <w:bookmarkStart w:id="21" w:name="abstract"/>
      <w:r>
        <w:t xml:space="preserve">Abstract</w:t>
      </w:r>
      <w:bookmarkEnd w:id="21"/>
    </w:p>
    <w:p>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sources, SST data were linked to fish tickets, observer, and VMS in the Oracle backend from 2002 - present (millions of records), and new data are automatically matched each day. We provide examples of how these processes facilitate efficient use of SST data, and describe opportunities for expansion of these services.</w:t>
      </w:r>
    </w:p>
    <w:p>
      <w:pPr>
        <w:pStyle w:val="Heading1"/>
      </w:pPr>
      <w:bookmarkStart w:id="22" w:name="introduction"/>
      <w:r>
        <w:t xml:space="preserve">Introduction</w:t>
      </w:r>
      <w:bookmarkEnd w:id="22"/>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(Ferriss and Zador</w:t>
      </w:r>
      <w:r>
        <w:t xml:space="preserve"> </w:t>
      </w:r>
      <w:hyperlink w:anchor="ref-Ferriss2020">
        <w:r>
          <w:rPr>
            <w:rStyle w:val="Hyperlink"/>
          </w:rPr>
          <w:t xml:space="preserve">2020</w:t>
        </w:r>
      </w:hyperlink>
      <w:r>
        <w:t xml:space="preserve">, Ortiz and Zador</w:t>
      </w:r>
      <w:r>
        <w:t xml:space="preserve"> </w:t>
      </w:r>
      <w:hyperlink w:anchor="ref-Ortiz2020">
        <w:r>
          <w:rPr>
            <w:rStyle w:val="Hyperlink"/>
          </w:rPr>
          <w:t xml:space="preserve">2020</w:t>
        </w:r>
      </w:hyperlink>
      <w:r>
        <w:t xml:space="preserve">, Siddon</w:t>
      </w:r>
      <w:r>
        <w:t xml:space="preserve"> </w:t>
      </w:r>
      <w:hyperlink w:anchor="ref-Siddon2020">
        <w:r>
          <w:rPr>
            <w:rStyle w:val="Hyperlink"/>
          </w:rPr>
          <w:t xml:space="preserve">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3">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(Thorson et al.</w:t>
      </w:r>
      <w:r>
        <w:t xml:space="preserve"> </w:t>
      </w:r>
      <w:hyperlink w:anchor="ref-Thorson2017">
        <w:r>
          <w:rPr>
            <w:rStyle w:val="Hyperlink"/>
          </w:rPr>
          <w:t xml:space="preserve">2017</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(SST) data are well validated and have been available since the early 1980s</w:t>
      </w:r>
      <w:r>
        <w:t xml:space="preserve"> </w:t>
      </w:r>
      <w:r>
        <w:t xml:space="preserve">(Minnett et al.</w:t>
      </w:r>
      <w:r>
        <w:t xml:space="preserve"> </w:t>
      </w:r>
      <w:hyperlink w:anchor="ref-Minnett2019">
        <w:r>
          <w:rPr>
            <w:rStyle w:val="Hyperlink"/>
          </w:rPr>
          <w:t xml:space="preserve">2019</w:t>
        </w:r>
      </w:hyperlink>
      <w:r>
        <w:t xml:space="preserve">)</w:t>
      </w:r>
      <w:r>
        <w:t xml:space="preserve">. A proliferation of new technologies, sensors, and data products have led to increasingly frequent and spatially resolved SST data with latencies as little as one day</w:t>
      </w:r>
      <w:r>
        <w:t xml:space="preserve"> </w:t>
      </w:r>
      <w:r>
        <w:t xml:space="preserve">(Liu et al.</w:t>
      </w:r>
      <w:r>
        <w:t xml:space="preserve"> </w:t>
      </w:r>
      <w:hyperlink w:anchor="ref-Liu2014">
        <w:r>
          <w:rPr>
            <w:rStyle w:val="Hyperlink"/>
          </w:rPr>
          <w:t xml:space="preserve">2014</w:t>
        </w:r>
      </w:hyperlink>
      <w:r>
        <w:t xml:space="preserve">, Maturi et al.</w:t>
      </w:r>
      <w:r>
        <w:t xml:space="preserve"> </w:t>
      </w:r>
      <w:hyperlink w:anchor="ref-Maturi2017">
        <w:r>
          <w:rPr>
            <w:rStyle w:val="Hyperlink"/>
          </w:rPr>
          <w:t xml:space="preserve">2017</w:t>
        </w:r>
      </w:hyperlink>
      <w:r>
        <w:t xml:space="preserve">, Minnett et al.</w:t>
      </w:r>
      <w:r>
        <w:t xml:space="preserve"> </w:t>
      </w:r>
      <w:hyperlink w:anchor="ref-Minnett2019">
        <w:r>
          <w:rPr>
            <w:rStyle w:val="Hyperlink"/>
          </w:rPr>
          <w:t xml:space="preserve">2019</w:t>
        </w:r>
      </w:hyperlink>
      <w:r>
        <w:t xml:space="preserve">)</w:t>
      </w:r>
      <w:r>
        <w:t xml:space="preserve">. Moreover, the development of programs like NOAA’s CoastWatch and data technologies like Environmental Research Division’s data access program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w:t>
      </w:r>
      <w:r>
        <w:t xml:space="preserve"> </w:t>
      </w:r>
      <w:r>
        <w:t xml:space="preserve">(Welch et al.</w:t>
      </w:r>
      <w:r>
        <w:t xml:space="preserve"> </w:t>
      </w:r>
      <w:hyperlink w:anchor="ref-Welch2019">
        <w:r>
          <w:rPr>
            <w:rStyle w:val="Hyperlink"/>
          </w:rPr>
          <w:t xml:space="preserve">2019</w:t>
        </w:r>
      </w:hyperlink>
      <w:r>
        <w:t xml:space="preserve">)</w:t>
      </w:r>
      <w:r>
        <w:t xml:space="preserve">.</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p>
      <w:pPr>
        <w:pStyle w:val="Heading1"/>
      </w:pPr>
      <w:bookmarkStart w:id="24" w:name="methods-results"/>
      <w:r>
        <w:t xml:space="preserve">Methods &amp; Results</w:t>
      </w:r>
      <w:bookmarkEnd w:id="24"/>
    </w:p>
    <w:p>
      <w:pPr>
        <w:pStyle w:val="FirstParagraph"/>
      </w:pPr>
      <w:r>
        <w:rPr>
          <w:i/>
        </w:rPr>
        <w:t xml:space="preserve">Satellite data</w:t>
      </w:r>
      <w:r>
        <w:br w:type="textWrapping"/>
      </w:r>
      <w:r>
        <w:t xml:space="preserve">Three daily satellite SST products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pPr>
        <w:pStyle w:val="BodyText"/>
      </w:pPr>
      <w:r>
        <w:t xml:space="preserve">The SST data sets used are from NOAA Coral Reef Watch (CRW), NASA Jet Propulsion Laboratory Multi-Scale Ultra-High Resoultion (MUR), and NOAA National Center for Environmental Information Optimal Interpolation (OI) (Table 1). The data sets vary in spatial resolution and time-span. MUR SST has the finest spatial resolution while OI SST is the most course. Meanwhile OI SST includes the longest time series while MUR has the briefest.</w:t>
      </w:r>
    </w:p>
    <w:p>
      <w:pPr>
        <w:pStyle w:val="BodyText"/>
      </w:pPr>
      <w:r>
        <w:t xml:space="preserve">(Insert Table 1 here)</w:t>
      </w:r>
      <w:r>
        <w:t xml:space="preserve"> </w:t>
      </w:r>
      <w:r>
        <w:t xml:space="preserve">Table 1. Description of the three satellite data sets and their data products in the AKFIN database backend.</w:t>
      </w:r>
    </w:p>
    <w:p>
      <w:pPr>
        <w:pStyle w:val="BodyText"/>
      </w:pPr>
      <w:r>
        <w:t xml:space="preserve">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t xml:space="preserve">In addition to the spatial strata, each gridded SST location was also matched with the depth of the water at that location. The marmap library (Pante &amp; Bouhet 2015) in R was used to extract the NOAA ETOPO1 bathymetric data</w:t>
      </w:r>
      <w:r>
        <w:t xml:space="preserve"> </w:t>
      </w:r>
      <w:r>
        <w:t xml:space="preserve">(Amante and Eakins</w:t>
      </w:r>
      <w:r>
        <w:t xml:space="preserve"> </w:t>
      </w:r>
      <w:hyperlink w:anchor="ref-Amante2009">
        <w:r>
          <w:rPr>
            <w:rStyle w:val="Hyperlink"/>
          </w:rPr>
          <w:t xml:space="preserve">2009</w:t>
        </w:r>
      </w:hyperlink>
      <w:r>
        <w:t xml:space="preserve">)</w:t>
      </w:r>
      <w:r>
        <w:t xml:space="preserve">.</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database access via SQL and R.</w:t>
      </w:r>
    </w:p>
    <w:p>
      <w:pPr>
        <w:pStyle w:val="CaptionedFigure"/>
      </w:pPr>
      <w:r>
        <w:drawing>
          <wp:inline>
            <wp:extent cx="5943600" cy="4083037"/>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6"/>
                    <a:stretch>
                      <a:fillRect/>
                    </a:stretch>
                  </pic:blipFill>
                  <pic:spPr bwMode="auto">
                    <a:xfrm>
                      <a:off x="0" y="0"/>
                      <a:ext cx="5943600" cy="4083037"/>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execute queries without storing data locally which is particularly helpful for operations that would typically append data to existing files (e.g., adding a new day of data to a time series). With this tool, users can easily incorporate SST time series data into stock assessments and other workflows. We present a brief introduction of web services here and annotated code examples are provided in a supplement.</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7">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and spatial parameter. Currently, spatial query parameters include NMFS management areas (nmfs_area) and the Ecosystem Status Report subregions (Ecosystem_sub) (e.g. Siddon 2020). This is the daily SST data set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Current depth limits reflect preferences of Ecosystem Status Report contributors but analysts that are interested in data for different depth ranges, custom spatial bounds, or aggregated NMFS areas are encouraged to contact the authors of this report.</w:t>
      </w:r>
    </w:p>
    <w:p>
      <w:pPr>
        <w:pStyle w:val="CaptionedFigure"/>
      </w:pPr>
      <w:r>
        <w:drawing>
          <wp:inline>
            <wp:extent cx="5943600" cy="7842694"/>
            <wp:effectExtent b="0" l="0" r="0" t="0"/>
            <wp:docPr descr="Figure 3: : Configuration of AKFIN web service URL parameters. A) Basic structure of the URL B) Multiple areas and time components. C) Additional time arguments. D) Importing webservice data into R using the httr package." title="" id="1" name="Picture"/>
            <a:graphic>
              <a:graphicData uri="http://schemas.openxmlformats.org/drawingml/2006/picture">
                <pic:pic>
                  <pic:nvPicPr>
                    <pic:cNvPr descr="Data/Figure_3_url_format.jpg" id="0" name="Picture"/>
                    <pic:cNvPicPr>
                      <a:picLocks noChangeArrowheads="1" noChangeAspect="1"/>
                    </pic:cNvPicPr>
                  </pic:nvPicPr>
                  <pic:blipFill>
                    <a:blip r:embed="rId28"/>
                    <a:stretch>
                      <a:fillRect/>
                    </a:stretch>
                  </pic:blipFill>
                  <pic:spPr bwMode="auto">
                    <a:xfrm>
                      <a:off x="0" y="0"/>
                      <a:ext cx="5943600" cy="7842694"/>
                    </a:xfrm>
                    <a:prstGeom prst="rect">
                      <a:avLst/>
                    </a:prstGeom>
                    <a:noFill/>
                    <a:ln w="9525">
                      <a:noFill/>
                      <a:headEnd/>
                      <a:tailEnd/>
                    </a:ln>
                  </pic:spPr>
                </pic:pic>
              </a:graphicData>
            </a:graphic>
          </wp:inline>
        </w:drawing>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record. Time parameters should be included after spatial parameters and separated by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An</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(e.g.,</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BodyText"/>
      </w:pPr>
      <w:r>
        <w:t xml:space="preserve">To access web services using R Statistical Software, we use the R package</w:t>
      </w:r>
      <w:r>
        <w:t xml:space="preserve"> </w:t>
      </w:r>
      <w:r>
        <w:rPr>
          <w:i/>
        </w:rPr>
        <w:t xml:space="preserve">httr</w:t>
      </w:r>
      <w:r>
        <w:t xml:space="preserve"> </w:t>
      </w:r>
      <w:r>
        <w:t xml:space="preserve">to pull data from a URL (Fig. 3), and the data format should be specified as JSON. The data can be saved as an object for manipulation or piped directly into downstream functions. Additional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recommended for plotting and manipulation but the object retrieved using</w:t>
      </w:r>
      <w:r>
        <w:t xml:space="preserve"> </w:t>
      </w:r>
      <w:r>
        <w:rPr>
          <w:i/>
        </w:rPr>
        <w:t xml:space="preserve">httr</w:t>
      </w:r>
      <w:r>
        <w:t xml:space="preserve"> </w:t>
      </w:r>
      <w:r>
        <w:t xml:space="preserve">could be manipulated using base R instead. Simply pasting the URL into a web browser would also display fetched data in that browser. See coding examples in the supplement.</w:t>
      </w:r>
    </w:p>
    <w:p>
      <w:pPr>
        <w:pStyle w:val="BodyText"/>
      </w:pPr>
      <w:r>
        <w:rPr>
          <w:b/>
        </w:rPr>
        <w:t xml:space="preserve">Oracle database queries</w:t>
      </w:r>
      <w:r>
        <w:br w:type="textWrapping"/>
      </w: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need an AKFIN database account, which can be provided by contacting the authors of this document. As we note in the web services section, many custom database queries or views can also be automated by working with AKFIN staff (via contact with the authors).</w:t>
      </w:r>
    </w:p>
    <w:p>
      <w:pPr>
        <w:pStyle w:val="BodyText"/>
      </w:pPr>
      <w:r>
        <w:t xml:space="preserve">The gridded SST data are stored within the AFSC schema on the AKFIN Oracle database and the primary key linking the lookup tables with the gridded data is the ID field (see Supplement for examples). In the lookup table, the field is called</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when the particular latitude - longitude coordinates shown do not fall within any spatial strata represented by those columns (SQL Code Input 1).</w:t>
      </w:r>
    </w:p>
    <w:p>
      <w:pPr>
        <w:pStyle w:val="BodyText"/>
      </w:pPr>
      <w:r>
        <w:rPr>
          <w:b/>
        </w:rPr>
        <w:t xml:space="preserve">SQL Code Input - 1</w:t>
      </w:r>
      <w:r>
        <w:t xml:space="preserve"> </w:t>
      </w:r>
      <w:r>
        <w:t xml:space="preserve">Example SQL query to join the SST data and its lookup table.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w:t>
      </w:r>
    </w:p>
    <w:p>
      <w:pPr>
        <w:pStyle w:val="BodyText"/>
      </w:pP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users can contact the authors for assistance establishing such connections or custom SQL queries. SQL query examples can be found in the supplement.</w:t>
      </w:r>
    </w:p>
    <w:p>
      <w:pPr>
        <w:pStyle w:val="BodyText"/>
      </w:pPr>
      <w:r>
        <w:rPr>
          <w:b/>
        </w:rPr>
        <w:t xml:space="preserve">Matching SST data with fishery-dependent data</w:t>
      </w:r>
      <w:r>
        <w:br w:type="textWrapping"/>
      </w:r>
      <w:r>
        <w:t xml:space="preserve">The above sections describe access to gridded or raw SST data that are updated daily within AKFIN. In addition to raw SST data access, the daily SST data are also integrated within the AKFIN back-end to observer, fish ticket, and vessel monitoring systems (VMS) data. The observer and fish ticket data use the MUR SST data while the VMS uses CRW SST. Users with access to these confidential data sets can find AVG_SST_CELSIUS and STDDEV_SST_CELSIUS fields in</w:t>
      </w:r>
      <w:r>
        <w:t xml:space="preserve"> </w:t>
      </w:r>
      <w:r>
        <w:t xml:space="preserve">“</w:t>
      </w:r>
      <w:r>
        <w:t xml:space="preserve">comprehensive</w:t>
      </w:r>
      <w:r>
        <w:t xml:space="preserve">”</w:t>
      </w:r>
      <w:r>
        <w:t xml:space="preserve"> </w:t>
      </w:r>
      <w:r>
        <w:t xml:space="preserve">data tables located in the COUNCIL schema. The comprehensives (e.g. comprehensive_obs for observer data) were developed to connect numerous fields relevant to fisheries data in one table. VMS data linked to SST can be accessed through the comprehensive_vms_v view in the AKFIN_MARTS schema in AKFIN. Note that these data are confidential and require authorization for data access.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 VMS data are simply matched with the SST of the position and date of the VMS transmission. Accompanying the average SST value for all of the temperature records within each statistical area is also a standard deviation of the points used to calculate this area-level daily average.</w:t>
      </w:r>
    </w:p>
    <w:p>
      <w:pPr>
        <w:pStyle w:val="Heading1"/>
      </w:pPr>
      <w:bookmarkStart w:id="29" w:name="discussion"/>
      <w:r>
        <w:t xml:space="preserve">Discussion</w:t>
      </w:r>
      <w:bookmarkEnd w:id="29"/>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 The web services we describe here are akin to data accessed directly via an ERDDAP. The difference is simply that the data have been customized with spatial strata for Alaska and they also have a backend component that offers additional utility. Web services can be easily incorporated into workflows to support operational data applications, like R Shiny Apps (e.g. </w:t>
      </w:r>
      <w:hyperlink r:id="rId30">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and much like the web services, database queries can also be implemented into operational data flows, though they require a VPN connection and additional connectivity parameters. The goal with these combined approaches is to serve a suite of users and applications across a range of data task complexities.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SST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Heading1"/>
      </w:pPr>
      <w:bookmarkStart w:id="31" w:name="acknowledgments"/>
      <w:r>
        <w:t xml:space="preserve">Acknowledgments</w:t>
      </w:r>
      <w:bookmarkEnd w:id="31"/>
    </w:p>
    <w:p>
      <w:pPr>
        <w:pStyle w:val="FirstParagraph"/>
      </w:pPr>
      <w:r>
        <w:t xml:space="preserve">Bob Nigh and Rob Ames were instrumental in setting up and configuring database queries and web services.</w:t>
      </w:r>
    </w:p>
    <w:p>
      <w:pPr>
        <w:pStyle w:val="Heading1"/>
      </w:pPr>
      <w:bookmarkStart w:id="32" w:name="supplement"/>
      <w:r>
        <w:t xml:space="preserve">Supplement</w:t>
      </w:r>
      <w:bookmarkEnd w:id="32"/>
    </w:p>
    <w:p>
      <w:pPr>
        <w:pStyle w:val="FirstParagraph"/>
      </w:pPr>
      <w:r>
        <w:t xml:space="preserve">The following section provides examples of R and SQL code inputs and outputs that demonstrate the AKFIN SST web services and AKFIN backend SST data connection via Oracle SQL.</w:t>
      </w:r>
    </w:p>
    <w:p>
      <w:pPr>
        <w:pStyle w:val="BodyText"/>
      </w:pPr>
      <w:r>
        <w:rPr>
          <w:b/>
        </w:rPr>
        <w:t xml:space="preserve">R Code Chunk - 1.</w:t>
      </w:r>
      <w:r>
        <w:t xml:space="preserve"> </w:t>
      </w:r>
      <w:r>
        <w:t xml:space="preserve">Web service query of sea surface temperature for NMFS Areas 640 for</w:t>
      </w:r>
      <w:r>
        <w:t xml:space="preserve"> </w:t>
      </w:r>
      <w:r>
        <w:t xml:space="preserve">“</w:t>
      </w:r>
      <w:r>
        <w:t xml:space="preserve">start_date=19850101</w:t>
      </w:r>
      <w:r>
        <w:t xml:space="preserve">”</w:t>
      </w:r>
      <w:r>
        <w:t xml:space="preserve"> </w:t>
      </w:r>
      <w:r>
        <w:t xml:space="preserve">through</w:t>
      </w:r>
      <w:r>
        <w:t xml:space="preserve"> </w:t>
      </w:r>
      <w:r>
        <w:t xml:space="preserve">“</w:t>
      </w:r>
      <w:r>
        <w:t xml:space="preserve">end_date=19850105</w:t>
      </w:r>
      <w:r>
        <w:t xml:space="preserve">”</w:t>
      </w:r>
      <w:r>
        <w:t xml:space="preserve">.</w:t>
      </w:r>
    </w:p>
    <w:p>
      <w:pPr>
        <w:pStyle w:val="SourceCode"/>
      </w:pPr>
      <w:r>
        <w:rPr>
          <w:rStyle w:val="CommentTok"/>
        </w:rPr>
        <w:t xml:space="preserve">#Load packages</w:t>
      </w:r>
      <w:r>
        <w:br w:type="textWrapping"/>
      </w:r>
      <w:r>
        <w:rPr>
          <w:rStyle w:val="CommentTok"/>
        </w:rPr>
        <w:t xml:space="preserve">#library(httr) # For pulling data via a URL</w:t>
      </w:r>
      <w:r>
        <w:br w:type="textWrapping"/>
      </w:r>
      <w:r>
        <w:rPr>
          <w:rStyle w:val="CommentTok"/>
        </w:rPr>
        <w:t xml:space="preserve">#library(tidyverse) # Data manipulation</w:t>
      </w:r>
      <w:r>
        <w:br w:type="textWrapping"/>
      </w:r>
      <w:r>
        <w:rPr>
          <w:rStyle w:val="CommentTok"/>
        </w:rPr>
        <w:t xml:space="preserve">#library(lubridate) # Date formatting</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'https://apex.psmfc.org/akfin/data_marts/akmp/nmfs_area_crw_avg_sst?nmfs_area=640&amp;start_date=19850101&amp;end_date=19850105'</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bl>
    <w:p>
      <w:pPr>
        <w:pStyle w:val="BodyText"/>
      </w:pPr>
      <w:r>
        <w:rPr>
          <w:b/>
        </w:rPr>
        <w:t xml:space="preserve">R Code Chunk - 2.</w:t>
      </w:r>
      <w:r>
        <w:t xml:space="preserve"> </w:t>
      </w:r>
      <w:r>
        <w:t xml:space="preserve">Web service query of the full time series for NMFS area 640 (</w:t>
      </w:r>
      <w:r>
        <w:t xml:space="preserve">“</w:t>
      </w:r>
      <w:r>
        <w:t xml:space="preserve">nmfs_area=640</w:t>
      </w:r>
      <w:r>
        <w:t xml:space="preserve">”</w:t>
      </w:r>
      <w:r>
        <w:t xml:space="preserve">) from 1985-01-01 to present. To obtain a time series that includes the most recent records, specify an</w:t>
      </w:r>
      <w:r>
        <w:t xml:space="preserve"> </w:t>
      </w:r>
      <w:r>
        <w:rPr>
          <w:i/>
        </w:rPr>
        <w:t xml:space="preserve">end_date</w:t>
      </w:r>
      <w:r>
        <w:t xml:space="preserve"> </w:t>
      </w:r>
      <w:r>
        <w:t xml:space="preserve">that is greater than the current date. Here we us an arbitary future date of</w:t>
      </w:r>
      <w:r>
        <w:t xml:space="preserve"> </w:t>
      </w:r>
      <w:r>
        <w:t xml:space="preserve">“</w:t>
      </w:r>
      <w:r>
        <w:t xml:space="preserve">end_date=20280101</w:t>
      </w:r>
      <w:r>
        <w:t xml:space="preserve">”</w:t>
      </w:r>
      <w:r>
        <w:t xml:space="preserve">. Because this query extracts more than 13,000 records, we demonstrate by saving to an object and then viewing the structure of that object. However as demonstrated in subsequent chunks, it is unnecessary to save the query to an object.</w:t>
      </w:r>
    </w:p>
    <w:p>
      <w:pPr>
        <w:pStyle w:val="SourceCode"/>
      </w:pP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tibble [13,374 x 5] (S3: tbl_df/tbl/data.frame)</w:t>
      </w:r>
      <w:r>
        <w:br w:type="textWrapping"/>
      </w:r>
      <w:r>
        <w:rPr>
          <w:rStyle w:val="VerbatimChar"/>
        </w:rPr>
        <w:t xml:space="preserve">##  $ MEANSST  : num [1:13374] 6.06 5.89 5.78 5.76 5.78 5.92 6 5.92 5.85 5.83 ...</w:t>
      </w:r>
      <w:r>
        <w:br w:type="textWrapping"/>
      </w:r>
      <w:r>
        <w:rPr>
          <w:rStyle w:val="VerbatimChar"/>
        </w:rPr>
        <w:t xml:space="preserve">##  $ NMFSAREA : chr [1:13374] "640" "640" "640" "640" ...</w:t>
      </w:r>
      <w:r>
        <w:br w:type="textWrapping"/>
      </w:r>
      <w:r>
        <w:rPr>
          <w:rStyle w:val="VerbatimChar"/>
        </w:rPr>
        <w:t xml:space="preserve">##  $ READ_DATE: chr [1:13374] "1985-01-01T12:00:00Z" "1985-01-02T12:00:00Z" "1985-01-03T12:00:00Z" "1985-01-04T12:00:00Z" ...</w:t>
      </w:r>
      <w:r>
        <w:br w:type="textWrapping"/>
      </w:r>
      <w:r>
        <w:rPr>
          <w:rStyle w:val="VerbatimChar"/>
        </w:rPr>
        <w:t xml:space="preserve">##  $ YEAR     : chr [1:13374] "1985" "1985" "1985" "1985" ...</w:t>
      </w:r>
      <w:r>
        <w:br w:type="textWrapping"/>
      </w:r>
      <w:r>
        <w:rPr>
          <w:rStyle w:val="VerbatimChar"/>
        </w:rPr>
        <w:t xml:space="preserve">##  $ JULIAN   : chr [1:13374] "001" "002" "003" "004" ...</w:t>
      </w:r>
    </w:p>
    <w:p>
      <w:pPr>
        <w:pStyle w:val="FirstParagraph"/>
      </w:pPr>
      <w:r>
        <w:rPr>
          <w:b/>
        </w:rPr>
        <w:t xml:space="preserve">R Code Chunk - 4.</w:t>
      </w:r>
      <w:r>
        <w:t xml:space="preserve"> </w:t>
      </w:r>
      <w:r>
        <w:t xml:space="preserve">Web service query of SST in NMFS area 640 with custom start and end dates. This chunk also demonstrates a piped workflow to generate a figure without saving any intermediate objects.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5-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- 5.</w:t>
      </w:r>
      <w:r>
        <w:t xml:space="preserve"> </w:t>
      </w:r>
      <w:r>
        <w:t xml:space="preserve">The</w:t>
      </w:r>
      <w:r>
        <w:t xml:space="preserve"> </w:t>
      </w:r>
      <w:r>
        <w:rPr>
          <w:i/>
        </w:rPr>
        <w:t xml:space="preserve">read_date</w:t>
      </w:r>
      <w:r>
        <w:t xml:space="preserve"> </w:t>
      </w:r>
      <w:r>
        <w:t xml:space="preserve">parameter will access a single date record. Note that due to time zones and the web service configuration, the specified date is one day later than the extracted date.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- 6.</w:t>
      </w:r>
      <w:r>
        <w:t xml:space="preserve"> </w:t>
      </w:r>
      <w:r>
        <w:t xml:space="preserve">Web service query demonstrating use of the</w:t>
      </w:r>
      <w:r>
        <w:t xml:space="preserve"> </w:t>
      </w:r>
      <w:r>
        <w:rPr>
          <w:i/>
        </w:rPr>
        <w:t xml:space="preserve">days_back</w:t>
      </w:r>
      <w:r>
        <w:t xml:space="preserve"> </w:t>
      </w:r>
      <w:r>
        <w:t xml:space="preserve">command. In this case, the most recent three days are queried by specifying</w:t>
      </w:r>
      <w:r>
        <w:t xml:space="preserve"> </w:t>
      </w:r>
      <w:r>
        <w:t xml:space="preserve">“</w:t>
      </w:r>
      <w:r>
        <w:t xml:space="preserve">days_back=2</w:t>
      </w:r>
      <w:r>
        <w:t xml:space="preserve">”</w:t>
      </w:r>
      <w:r>
        <w:t xml:space="preserve"> </w:t>
      </w:r>
      <w:r>
        <w:t xml:space="preserve">which pulls two days back from the most recent record.</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13.37</w:t>
            </w:r>
          </w:p>
        </w:tc>
        <w:tc>
          <w:p>
            <w:pPr>
              <w:pStyle w:val="Compact"/>
              <w:jc w:val="left"/>
            </w:pPr>
            <w:r>
              <w:t xml:space="preserve">640</w:t>
            </w:r>
          </w:p>
        </w:tc>
        <w:tc>
          <w:p>
            <w:pPr>
              <w:pStyle w:val="Compact"/>
              <w:jc w:val="left"/>
            </w:pPr>
            <w:r>
              <w:t xml:space="preserve">2021-08-12T12:00:00Z</w:t>
            </w:r>
          </w:p>
        </w:tc>
        <w:tc>
          <w:p>
            <w:pPr>
              <w:pStyle w:val="Compact"/>
              <w:jc w:val="left"/>
            </w:pPr>
            <w:r>
              <w:t xml:space="preserve">2021</w:t>
            </w:r>
          </w:p>
        </w:tc>
        <w:tc>
          <w:p>
            <w:pPr>
              <w:pStyle w:val="Compact"/>
              <w:jc w:val="left"/>
            </w:pPr>
            <w:r>
              <w:t xml:space="preserve">224</w:t>
            </w:r>
          </w:p>
        </w:tc>
      </w:tr>
      <w:tr>
        <w:tc>
          <w:p>
            <w:pPr>
              <w:pStyle w:val="Compact"/>
              <w:jc w:val="right"/>
            </w:pPr>
            <w:r>
              <w:t xml:space="preserve">13.39</w:t>
            </w:r>
          </w:p>
        </w:tc>
        <w:tc>
          <w:p>
            <w:pPr>
              <w:pStyle w:val="Compact"/>
              <w:jc w:val="left"/>
            </w:pPr>
            <w:r>
              <w:t xml:space="preserve">640</w:t>
            </w:r>
          </w:p>
        </w:tc>
        <w:tc>
          <w:p>
            <w:pPr>
              <w:pStyle w:val="Compact"/>
              <w:jc w:val="left"/>
            </w:pPr>
            <w:r>
              <w:t xml:space="preserve">2021-08-13T12:00:00Z</w:t>
            </w:r>
          </w:p>
        </w:tc>
        <w:tc>
          <w:p>
            <w:pPr>
              <w:pStyle w:val="Compact"/>
              <w:jc w:val="left"/>
            </w:pPr>
            <w:r>
              <w:t xml:space="preserve">2021</w:t>
            </w:r>
          </w:p>
        </w:tc>
        <w:tc>
          <w:p>
            <w:pPr>
              <w:pStyle w:val="Compact"/>
              <w:jc w:val="left"/>
            </w:pPr>
            <w:r>
              <w:t xml:space="preserve">225</w:t>
            </w:r>
          </w:p>
        </w:tc>
      </w:tr>
      <w:tr>
        <w:tc>
          <w:p>
            <w:pPr>
              <w:pStyle w:val="Compact"/>
              <w:jc w:val="right"/>
            </w:pPr>
            <w:r>
              <w:t xml:space="preserve">13.53</w:t>
            </w:r>
          </w:p>
        </w:tc>
        <w:tc>
          <w:p>
            <w:pPr>
              <w:pStyle w:val="Compact"/>
              <w:jc w:val="left"/>
            </w:pPr>
            <w:r>
              <w:t xml:space="preserve">640</w:t>
            </w:r>
          </w:p>
        </w:tc>
        <w:tc>
          <w:p>
            <w:pPr>
              <w:pStyle w:val="Compact"/>
              <w:jc w:val="left"/>
            </w:pPr>
            <w:r>
              <w:t xml:space="preserve">2021-08-14T12:00:00Z</w:t>
            </w:r>
          </w:p>
        </w:tc>
        <w:tc>
          <w:p>
            <w:pPr>
              <w:pStyle w:val="Compact"/>
              <w:jc w:val="left"/>
            </w:pPr>
            <w:r>
              <w:t xml:space="preserve">2021</w:t>
            </w:r>
          </w:p>
        </w:tc>
        <w:tc>
          <w:p>
            <w:pPr>
              <w:pStyle w:val="Compact"/>
              <w:jc w:val="left"/>
            </w:pPr>
            <w:r>
              <w:t xml:space="preserve">226</w:t>
            </w:r>
          </w:p>
        </w:tc>
      </w:tr>
    </w:tbl>
    <w:p>
      <w:pPr>
        <w:pStyle w:val="BodyText"/>
      </w:pPr>
      <w:r>
        <w:rPr>
          <w:b/>
        </w:rPr>
        <w:t xml:space="preserve">R Code Chunk - 7.</w:t>
      </w:r>
      <w:r>
        <w:t xml:space="preserve"> </w:t>
      </w:r>
      <w:r>
        <w:t xml:space="preserve">A date can be used in conjunction with the</w:t>
      </w:r>
      <w:r>
        <w:t xml:space="preserve"> </w:t>
      </w:r>
      <w:r>
        <w:rPr>
          <w:i/>
        </w:rPr>
        <w:t xml:space="preserve">days_back</w:t>
      </w:r>
      <w:r>
        <w:t xml:space="preserve"> </w:t>
      </w:r>
      <w:r>
        <w:t xml:space="preserve">parameter. In this case, the three days prior to the start of 2000-01-01 are queried by specifying this date and</w:t>
      </w:r>
      <w:r>
        <w:t xml:space="preserve"> </w:t>
      </w:r>
      <w:r>
        <w:t xml:space="preserve">“</w:t>
      </w:r>
      <w:r>
        <w:t xml:space="preserve">days_back=2</w:t>
      </w:r>
      <w:r>
        <w:t xml:space="preserve">”</w:t>
      </w:r>
      <w:r>
        <w:t xml:space="preserv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- 8.</w:t>
      </w:r>
      <w:r>
        <w:t xml:space="preserve"> </w:t>
      </w:r>
      <w:r>
        <w:t xml:space="preserve">Web service query of multiple different NMFS areas (640, 650). Queried areas are separated by a comma with no spaces.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13.53</w:t>
            </w:r>
          </w:p>
        </w:tc>
        <w:tc>
          <w:p>
            <w:pPr>
              <w:pStyle w:val="Compact"/>
              <w:jc w:val="left"/>
            </w:pPr>
            <w:r>
              <w:t xml:space="preserve">640</w:t>
            </w:r>
          </w:p>
        </w:tc>
        <w:tc>
          <w:p>
            <w:pPr>
              <w:pStyle w:val="Compact"/>
              <w:jc w:val="left"/>
            </w:pPr>
            <w:r>
              <w:t xml:space="preserve">2021-08-14T12:00:00Z</w:t>
            </w:r>
          </w:p>
        </w:tc>
        <w:tc>
          <w:p>
            <w:pPr>
              <w:pStyle w:val="Compact"/>
              <w:jc w:val="left"/>
            </w:pPr>
            <w:r>
              <w:t xml:space="preserve">2021</w:t>
            </w:r>
          </w:p>
        </w:tc>
        <w:tc>
          <w:p>
            <w:pPr>
              <w:pStyle w:val="Compact"/>
              <w:jc w:val="left"/>
            </w:pPr>
            <w:r>
              <w:t xml:space="preserve">226</w:t>
            </w:r>
          </w:p>
        </w:tc>
      </w:tr>
      <w:tr>
        <w:tc>
          <w:p>
            <w:pPr>
              <w:pStyle w:val="Compact"/>
              <w:jc w:val="right"/>
            </w:pPr>
            <w:r>
              <w:t xml:space="preserve">14.19</w:t>
            </w:r>
          </w:p>
        </w:tc>
        <w:tc>
          <w:p>
            <w:pPr>
              <w:pStyle w:val="Compact"/>
              <w:jc w:val="left"/>
            </w:pPr>
            <w:r>
              <w:t xml:space="preserve">650</w:t>
            </w:r>
          </w:p>
        </w:tc>
        <w:tc>
          <w:p>
            <w:pPr>
              <w:pStyle w:val="Compact"/>
              <w:jc w:val="left"/>
            </w:pPr>
            <w:r>
              <w:t xml:space="preserve">2021-08-14T12:00:00Z</w:t>
            </w:r>
          </w:p>
        </w:tc>
        <w:tc>
          <w:p>
            <w:pPr>
              <w:pStyle w:val="Compact"/>
              <w:jc w:val="left"/>
            </w:pPr>
            <w:r>
              <w:t xml:space="preserve">2021</w:t>
            </w:r>
          </w:p>
        </w:tc>
        <w:tc>
          <w:p>
            <w:pPr>
              <w:pStyle w:val="Compact"/>
              <w:jc w:val="left"/>
            </w:pPr>
            <w:r>
              <w:t xml:space="preserve">226</w:t>
            </w:r>
          </w:p>
        </w:tc>
      </w:tr>
    </w:tbl>
    <w:p>
      <w:pPr>
        <w:pStyle w:val="BodyText"/>
      </w:pPr>
      <w:r>
        <w:rPr>
          <w:b/>
        </w:rPr>
        <w:t xml:space="preserve">R Code Chunk - 9</w:t>
      </w:r>
      <w:r>
        <w:t xml:space="preserve"> </w:t>
      </w:r>
      <w:r>
        <w:t xml:space="preserve">Web service query and subsequent commands, demonstrating a workflow that avoids saving intermediate objects to produce a figure. In this case, SST for NMFS Areas 640 and 650, averaged for June, July, and August.</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0-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- 10.</w:t>
      </w:r>
      <w:r>
        <w:t xml:space="preserve"> </w:t>
      </w:r>
      <w:r>
        <w:t xml:space="preserve">Query the spatial look-up table for the CRW SST data set to view the names of the Ecosystem_sub areas from the Ecosystem Status Reports. This query simply pulls from the Github repo for this project. A later code chunk will query a look-up table from the AKFIN database using SQL.</w:t>
      </w:r>
    </w:p>
    <w:p>
      <w:pPr>
        <w:pStyle w:val="SourceCode"/>
      </w:pP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rPr>
          <w:b/>
        </w:rPr>
        <w:t xml:space="preserve">R Code Chunk - 11.</w:t>
      </w:r>
      <w:r>
        <w:t xml:space="preserve"> </w:t>
      </w:r>
      <w:r>
        <w:t xml:space="preserve">Web service query for the most recent record in the Ecosystem_sub area</w:t>
      </w:r>
      <w:r>
        <w:t xml:space="preserve"> </w:t>
      </w:r>
      <w:r>
        <w:t xml:space="preserve">“</w:t>
      </w:r>
      <w:r>
        <w:t xml:space="preserve">Southeastern Bering Sea</w:t>
      </w:r>
      <w:r>
        <w:t xml:space="preserve">”</w:t>
      </w:r>
      <w:r>
        <w:t xml:space="preserve">. Note that spaces are filled with</w:t>
      </w:r>
      <w:r>
        <w:t xml:space="preserve"> </w:t>
      </w:r>
      <w:r>
        <w:t xml:space="preserve">“</w:t>
      </w:r>
      <w:r>
        <w:t xml:space="preserve">%20</w:t>
      </w:r>
      <w:r>
        <w:t xml:space="preserve">”</w:t>
      </w:r>
      <w:r>
        <w:t xml:space="preserve">. Names for each Ecosystem_sub area are presented in the previous query.</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10.89</w:t>
            </w:r>
          </w:p>
        </w:tc>
        <w:tc>
          <w:p>
            <w:pPr>
              <w:pStyle w:val="Compact"/>
              <w:jc w:val="left"/>
            </w:pPr>
            <w:r>
              <w:t xml:space="preserve">Southeastern Bering Sea</w:t>
            </w:r>
          </w:p>
        </w:tc>
        <w:tc>
          <w:p>
            <w:pPr>
              <w:pStyle w:val="Compact"/>
              <w:jc w:val="left"/>
            </w:pPr>
            <w:r>
              <w:t xml:space="preserve">2021-08-14T12:00:00Z</w:t>
            </w:r>
          </w:p>
        </w:tc>
        <w:tc>
          <w:p>
            <w:pPr>
              <w:pStyle w:val="Compact"/>
              <w:jc w:val="left"/>
            </w:pPr>
            <w:r>
              <w:t xml:space="preserve">2021</w:t>
            </w:r>
          </w:p>
        </w:tc>
        <w:tc>
          <w:p>
            <w:pPr>
              <w:pStyle w:val="Compact"/>
              <w:jc w:val="left"/>
            </w:pPr>
            <w:r>
              <w:t xml:space="preserve">226</w:t>
            </w:r>
          </w:p>
        </w:tc>
      </w:tr>
    </w:tbl>
    <w:p>
      <w:pPr>
        <w:pStyle w:val="BodyText"/>
      </w:pPr>
      <w:r>
        <w:rPr>
          <w:b/>
        </w:rPr>
        <w:t xml:space="preserve">R Code Chunk - 12.</w:t>
      </w:r>
      <w:r>
        <w:t xml:space="preserve"> </w:t>
      </w:r>
      <w:r>
        <w:t xml:space="preserve">Web service query to plot the full time series for the eastern Gulf of Alaska and eastern Aleutian Islands from 1985 - present. Note the comma to separate regions and the</w:t>
      </w:r>
      <w:r>
        <w:t xml:space="preserve"> </w:t>
      </w:r>
      <w:r>
        <w:t xml:space="preserve">“</w:t>
      </w:r>
      <w:r>
        <w:t xml:space="preserve">%20</w:t>
      </w:r>
      <w:r>
        <w:t xml:space="preserve">”</w:t>
      </w:r>
      <w:r>
        <w:t xml:space="preserve"> </w:t>
      </w:r>
      <w:r>
        <w:t xml:space="preserve">to fill spaces in the character strings.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3-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- 13.</w:t>
      </w:r>
      <w:r>
        <w:t xml:space="preserve"> </w:t>
      </w:r>
      <w:r>
        <w:t xml:space="preserve">Web service query to plot the annual averages for NMFS areas 640 and 650. Note that annual averaging is performed downstream of the web service query.</w:t>
      </w:r>
    </w:p>
    <w:p>
      <w:pPr>
        <w:pStyle w:val="SourceCode"/>
      </w:pPr>
      <w:r>
        <w:rPr>
          <w:rStyle w:val="CommentTok"/>
        </w:rPr>
        <w:t xml:space="preserve">#"Annual average SST for NMFS areas 640 and 650."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4-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r>
        <w:br w:type="textWrapping"/>
      </w:r>
      <w:r>
        <w:t xml:space="preserve">The following section includes a combination of standalone SQL queries and SQL queries embedded within R function calls. Standalone SQL queries are often executed from a software application like SQL Developer. Alternatively, as we demonstrate below, SQL can be executed from RMarkdown by specifying that a chunk uses SQL instead of R. First, an R connection with the Oracle database must be established as in R Code Chunk - 14 below. They can also be executed from within R functions to create a mixed R/SQL workflow.</w:t>
      </w:r>
    </w:p>
    <w:p>
      <w:pPr>
        <w:pStyle w:val="BodyText"/>
      </w:pPr>
      <w:r>
        <w:rPr>
          <w:b/>
        </w:rPr>
        <w:t xml:space="preserve">R Code Chunk - 14.</w:t>
      </w:r>
      <w:r>
        <w:t xml:space="preserve"> </w:t>
      </w:r>
      <w:r>
        <w:t xml:space="preserve">Demonstration of connection to Oracle via R. For confidentiality, we have omitted our login credentials but users would substitute the UID and PWD parameter values here for your own AFKIN database credentials. In this case, the database connection is saved as the object</w:t>
      </w:r>
      <w:r>
        <w:t xml:space="preserve"> </w:t>
      </w:r>
      <w:r>
        <w:t xml:space="preserve">“</w:t>
      </w:r>
      <w:r>
        <w:t xml:space="preserve">con</w:t>
      </w:r>
      <w:r>
        <w:t xml:space="preserve">”</w:t>
      </w:r>
      <w:r>
        <w:t xml:space="preserve"> </w:t>
      </w:r>
      <w:r>
        <w:t xml:space="preserve">for later use. For assistance in configuring your computer for an Oracle connection through R, contact your IT help desk. The authors can also assist with technical questions regarding configuration.</w:t>
      </w:r>
    </w:p>
    <w:p>
      <w:pPr>
        <w:pStyle w:val="SourceCode"/>
      </w:pPr>
      <w:r>
        <w:rPr>
          <w:rStyle w:val="KeywordTok"/>
        </w:rPr>
        <w:t xml:space="preserve">library</w:t>
      </w:r>
      <w:r>
        <w:rPr>
          <w:rStyle w:val="NormalTok"/>
        </w:rPr>
        <w:t xml:space="preserve">(odbc) </w:t>
      </w:r>
      <w:r>
        <w:rPr>
          <w:rStyle w:val="CommentTok"/>
        </w:rPr>
        <w:t xml:space="preserve"># For connecting to oracle database</w:t>
      </w:r>
      <w:r>
        <w:br w:type="textWrapping"/>
      </w:r>
      <w:r>
        <w:br w:type="textWrapping"/>
      </w:r>
      <w:r>
        <w:rPr>
          <w:rStyle w:val="CommentTok"/>
        </w:rPr>
        <w:t xml:space="preserve">#  Load the AKFIN database user name and password from an external file.</w:t>
      </w:r>
      <w:r>
        <w:br w:type="textWrapping"/>
      </w:r>
      <w:r>
        <w:rPr>
          <w:rStyle w:val="CommentTok"/>
        </w:rPr>
        <w:t xml:space="preserve">#  This step can be circumvented by entering your credentials directly into the dbConnect() function below.</w:t>
      </w:r>
      <w:r>
        <w:br w:type="textWrapping"/>
      </w:r>
      <w:r>
        <w:rPr>
          <w:rStyle w:val="CommentTok"/>
        </w:rPr>
        <w:t xml:space="preserve">#  Alternatively, credentials can be confidentially stored separately in a csv as shown here.</w:t>
      </w:r>
      <w:r>
        <w:br w:type="textWrapping"/>
      </w:r>
      <w:r>
        <w:rPr>
          <w:rStyle w:val="NormalTok"/>
        </w:rPr>
        <w:t xml:space="preserve">params &lt;-</w:t>
      </w:r>
      <w:r>
        <w:rPr>
          <w:rStyle w:val="StringTok"/>
        </w:rPr>
        <w:t xml:space="preserve"> </w:t>
      </w:r>
      <w:r>
        <w:rPr>
          <w:rStyle w:val="KeywordTok"/>
        </w:rPr>
        <w:t xml:space="preserve">read_csv</w:t>
      </w:r>
      <w:r>
        <w:rPr>
          <w:rStyle w:val="NormalTok"/>
        </w:rPr>
        <w:t xml:space="preserve">(</w:t>
      </w:r>
      <w:r>
        <w:rPr>
          <w:rStyle w:val="StringTok"/>
        </w:rPr>
        <w:t xml:space="preserve">"markdown_odbc_params.csv"</w:t>
      </w:r>
      <w:r>
        <w:rPr>
          <w:rStyle w:val="NormalTok"/>
        </w:rPr>
        <w:t xml:space="preserve">)</w:t>
      </w:r>
      <w:r>
        <w:br w:type="textWrapping"/>
      </w:r>
      <w:r>
        <w:br w:type="textWrapping"/>
      </w:r>
      <w:r>
        <w:rPr>
          <w:rStyle w:val="CommentTok"/>
        </w:rPr>
        <w:t xml:space="preserve">#  Connect to the AKFIN database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 </w:t>
      </w:r>
      <w:r>
        <w:rPr>
          <w:rStyle w:val="StringTok"/>
        </w:rPr>
        <w:t xml:space="preserve">"akfin"</w:t>
      </w:r>
      <w:r>
        <w:rPr>
          <w:rStyle w:val="NormalTok"/>
        </w:rPr>
        <w:t xml:space="preserve">, </w:t>
      </w:r>
      <w:r>
        <w:rPr>
          <w:rStyle w:val="DataTypeTok"/>
        </w:rPr>
        <w:t xml:space="preserve">UID=</w:t>
      </w:r>
      <w:r>
        <w:rPr>
          <w:rStyle w:val="NormalTok"/>
        </w:rPr>
        <w:t xml:space="preserve">params</w:t>
      </w:r>
      <w:r>
        <w:rPr>
          <w:rStyle w:val="OperatorTok"/>
        </w:rPr>
        <w:t xml:space="preserve">$</w:t>
      </w:r>
      <w:r>
        <w:rPr>
          <w:rStyle w:val="NormalTok"/>
        </w:rPr>
        <w:t xml:space="preserve">uid, </w:t>
      </w:r>
      <w:r>
        <w:rPr>
          <w:rStyle w:val="DataTypeTok"/>
        </w:rPr>
        <w:t xml:space="preserve">PWD=</w:t>
      </w:r>
      <w:r>
        <w:rPr>
          <w:rStyle w:val="NormalTok"/>
        </w:rPr>
        <w:t xml:space="preserve">params</w:t>
      </w:r>
      <w:r>
        <w:rPr>
          <w:rStyle w:val="OperatorTok"/>
        </w:rPr>
        <w:t xml:space="preserve">$</w:t>
      </w:r>
      <w:r>
        <w:rPr>
          <w:rStyle w:val="NormalTok"/>
        </w:rPr>
        <w:t xml:space="preserve">pass)</w:t>
      </w:r>
    </w:p>
    <w:p>
      <w:pPr>
        <w:pStyle w:val="FirstParagraph"/>
      </w:pPr>
      <w:r>
        <w:rPr>
          <w:b/>
        </w:rPr>
        <w:t xml:space="preserve">SQL Code Chunk - 1.</w:t>
      </w:r>
      <w:r>
        <w:t xml:space="preserve"> </w:t>
      </w:r>
      <w:r>
        <w:t xml:space="preserve">Using the previously established R connection with the database (</w:t>
      </w:r>
      <w:r>
        <w:t xml:space="preserve">“</w:t>
      </w:r>
      <w:r>
        <w:t xml:space="preserve">con</w:t>
      </w:r>
      <w:r>
        <w:t xml:space="preserve">”</w:t>
      </w:r>
      <w:r>
        <w:t xml:space="preserve">), a SQL code chunk can be executed by specifying</w:t>
      </w:r>
      <w:r>
        <w:t xml:space="preserve"> </w:t>
      </w:r>
      <w:r>
        <w:rPr>
          <w:rStyle w:val="VerbatimChar"/>
          <w:i/>
        </w:rPr>
        <w:t xml:space="preserve">{sql, connection=con}* instead of the typical *</w:t>
      </w:r>
      <w:r>
        <w:rPr>
          <w:i/>
        </w:rPr>
        <w:t xml:space="preserve">{r}</w:t>
      </w:r>
      <w:r>
        <w:t xml:space="preserve">. Alternatively, this SQL query could be executed normally from SQL Developer or a similar editor. Here we query the first five rows of the CRW SST data set. We limit the query here as this is the full gridded data set with more than one billion records. Note that this data set displays no spatial information as currently configured.</w:t>
      </w:r>
    </w:p>
    <w:p>
      <w:pPr>
        <w:pStyle w:val="SourceCode"/>
      </w:pPr>
      <w:r>
        <w:rPr>
          <w:rStyle w:val="CommentTok"/>
        </w:rPr>
        <w:t xml:space="preserve">-- CRW SST from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Chunk - 2.</w:t>
      </w:r>
      <w:r>
        <w:t xml:space="preserve"> </w:t>
      </w:r>
      <w:r>
        <w:t xml:space="preserve">Oracle query of the first five rows of the CRW SST spatial look-up table. This table contains the spatial associations that will provide valuable context to the previous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4999.999999999999"/>
        <w:tblLook w:firstRow="1"/>
        <w:tblCaption w:val="5 records"/>
      </w:tblPr>
      <w:tblGrid>
        <w:gridCol w:w="404"/>
        <w:gridCol w:w="578"/>
        <w:gridCol w:w="578"/>
        <w:gridCol w:w="346"/>
        <w:gridCol w:w="578"/>
        <w:gridCol w:w="520"/>
        <w:gridCol w:w="520"/>
        <w:gridCol w:w="578"/>
        <w:gridCol w:w="1040"/>
        <w:gridCol w:w="1098"/>
        <w:gridCol w:w="1387"/>
        <w:gridCol w:w="289"/>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105972</w:t>
            </w:r>
          </w:p>
        </w:tc>
        <w:tc>
          <w:p>
            <w:pPr>
              <w:pStyle w:val="Compact"/>
              <w:jc w:val="left"/>
            </w:pPr>
            <w:r>
              <w:t xml:space="preserve">FED</w:t>
            </w:r>
          </w:p>
        </w:tc>
        <w:tc>
          <w:p>
            <w:pPr>
              <w:pStyle w:val="Compact"/>
              <w:jc w:val="left"/>
            </w:pPr>
            <w:r>
              <w:t xml:space="preserve">715600</w:t>
            </w:r>
          </w:p>
        </w:tc>
        <w:tc>
          <w:p>
            <w:pPr>
              <w:pStyle w:val="Compact"/>
              <w:jc w:val="right"/>
            </w:pPr>
            <w:r>
              <w:t xml:space="preserve">-463</w:t>
            </w:r>
          </w:p>
        </w:tc>
        <w:tc>
          <w:p>
            <w:pPr>
              <w:pStyle w:val="Compact"/>
              <w:jc w:val="right"/>
            </w:pPr>
            <w:r>
              <w:t xml:space="preserve">-171.075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105973</w:t>
            </w:r>
          </w:p>
        </w:tc>
        <w:tc>
          <w:p>
            <w:pPr>
              <w:pStyle w:val="Compact"/>
              <w:jc w:val="left"/>
            </w:pPr>
            <w:r>
              <w:t xml:space="preserve">FED</w:t>
            </w:r>
          </w:p>
        </w:tc>
        <w:tc>
          <w:p>
            <w:pPr>
              <w:pStyle w:val="Compact"/>
              <w:jc w:val="left"/>
            </w:pPr>
            <w:r>
              <w:t xml:space="preserve">715600</w:t>
            </w:r>
          </w:p>
        </w:tc>
        <w:tc>
          <w:p>
            <w:pPr>
              <w:pStyle w:val="Compact"/>
              <w:jc w:val="right"/>
            </w:pPr>
            <w:r>
              <w:t xml:space="preserve">-371</w:t>
            </w:r>
          </w:p>
        </w:tc>
        <w:tc>
          <w:p>
            <w:pPr>
              <w:pStyle w:val="Compact"/>
              <w:jc w:val="right"/>
            </w:pPr>
            <w:r>
              <w:t xml:space="preserve">-171.025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105974</w:t>
            </w:r>
          </w:p>
        </w:tc>
        <w:tc>
          <w:p>
            <w:pPr>
              <w:pStyle w:val="Compact"/>
              <w:jc w:val="left"/>
            </w:pPr>
            <w:r>
              <w:t xml:space="preserve">FED</w:t>
            </w:r>
          </w:p>
        </w:tc>
        <w:tc>
          <w:p>
            <w:pPr>
              <w:pStyle w:val="Compact"/>
              <w:jc w:val="left"/>
            </w:pPr>
            <w:r>
              <w:t xml:space="preserve">705600</w:t>
            </w:r>
          </w:p>
        </w:tc>
        <w:tc>
          <w:p>
            <w:pPr>
              <w:pStyle w:val="Compact"/>
              <w:jc w:val="right"/>
            </w:pPr>
            <w:r>
              <w:t xml:space="preserve">-181</w:t>
            </w:r>
          </w:p>
        </w:tc>
        <w:tc>
          <w:p>
            <w:pPr>
              <w:pStyle w:val="Compact"/>
              <w:jc w:val="right"/>
            </w:pPr>
            <w:r>
              <w:t xml:space="preserve">-170.975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105975</w:t>
            </w:r>
          </w:p>
        </w:tc>
        <w:tc>
          <w:p>
            <w:pPr>
              <w:pStyle w:val="Compact"/>
              <w:jc w:val="left"/>
            </w:pPr>
            <w:r>
              <w:t xml:space="preserve">FED</w:t>
            </w:r>
          </w:p>
        </w:tc>
        <w:tc>
          <w:p>
            <w:pPr>
              <w:pStyle w:val="Compact"/>
              <w:jc w:val="left"/>
            </w:pPr>
            <w:r>
              <w:t xml:space="preserve">705600</w:t>
            </w:r>
          </w:p>
        </w:tc>
        <w:tc>
          <w:p>
            <w:pPr>
              <w:pStyle w:val="Compact"/>
              <w:jc w:val="right"/>
            </w:pPr>
            <w:r>
              <w:t xml:space="preserve">-156</w:t>
            </w:r>
          </w:p>
        </w:tc>
        <w:tc>
          <w:p>
            <w:pPr>
              <w:pStyle w:val="Compact"/>
              <w:jc w:val="right"/>
            </w:pPr>
            <w:r>
              <w:t xml:space="preserve">-170.925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105976</w:t>
            </w:r>
          </w:p>
        </w:tc>
        <w:tc>
          <w:p>
            <w:pPr>
              <w:pStyle w:val="Compact"/>
              <w:jc w:val="left"/>
            </w:pPr>
            <w:r>
              <w:t xml:space="preserve">FED</w:t>
            </w:r>
          </w:p>
        </w:tc>
        <w:tc>
          <w:p>
            <w:pPr>
              <w:pStyle w:val="Compact"/>
              <w:jc w:val="left"/>
            </w:pPr>
            <w:r>
              <w:t xml:space="preserve">705600</w:t>
            </w:r>
          </w:p>
        </w:tc>
        <w:tc>
          <w:p>
            <w:pPr>
              <w:pStyle w:val="Compact"/>
              <w:jc w:val="right"/>
            </w:pPr>
            <w:r>
              <w:t xml:space="preserve">-129</w:t>
            </w:r>
          </w:p>
        </w:tc>
        <w:tc>
          <w:p>
            <w:pPr>
              <w:pStyle w:val="Compact"/>
              <w:jc w:val="right"/>
            </w:pPr>
            <w:r>
              <w:t xml:space="preserve">-170.875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bl>
    <w:p>
      <w:pPr>
        <w:pStyle w:val="BodyText"/>
      </w:pPr>
      <w:r>
        <w:rPr>
          <w:b/>
        </w:rPr>
        <w:t xml:space="preserve">SQL Code Chunk - 3.</w:t>
      </w:r>
      <w:r>
        <w:t xml:space="preserve"> </w:t>
      </w:r>
      <w:r>
        <w:t xml:space="preserve">Oracle query of the CRW SST data where the crab management areas are not null. To join the SST data with the look-up table that contains the crab areas, the query joins the CRW_ID field from the gridded SST data set with the ID field from the look-up table. Again, the view here is limited to the first five rows. The</w:t>
      </w:r>
      <w:r>
        <w:t xml:space="preserve"> </w:t>
      </w:r>
      <w:r>
        <w:t xml:space="preserve">“</w:t>
      </w:r>
      <w:r>
        <w:t xml:space="preserve">temp</w:t>
      </w:r>
      <w:r>
        <w:t xml:space="preserve">”</w:t>
      </w:r>
      <w:r>
        <w:t xml:space="preserve"> </w:t>
      </w:r>
      <w:r>
        <w:t xml:space="preserve">variable is the SST field.</w:t>
      </w:r>
    </w:p>
    <w:p>
      <w:pPr>
        <w:pStyle w:val="SourceCode"/>
      </w:pP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2010-01-05 12:00:00</w:t>
            </w:r>
          </w:p>
        </w:tc>
        <w:tc>
          <w:p>
            <w:pPr>
              <w:pStyle w:val="Compact"/>
              <w:jc w:val="right"/>
            </w:pPr>
            <w:r>
              <w:t xml:space="preserve">4.20</w:t>
            </w:r>
          </w:p>
        </w:tc>
        <w:tc>
          <w:p>
            <w:pPr>
              <w:pStyle w:val="Compact"/>
              <w:jc w:val="left"/>
            </w:pPr>
            <w:r>
              <w:t xml:space="preserve">2010</w:t>
            </w:r>
          </w:p>
        </w:tc>
        <w:tc>
          <w:p>
            <w:pPr>
              <w:pStyle w:val="Compact"/>
              <w:jc w:val="left"/>
            </w:pPr>
            <w:r>
              <w:t xml:space="preserve">bb</w:t>
            </w:r>
          </w:p>
        </w:tc>
      </w:tr>
      <w:tr>
        <w:tc>
          <w:p>
            <w:pPr>
              <w:pStyle w:val="Compact"/>
              <w:jc w:val="left"/>
            </w:pPr>
            <w:r>
              <w:t xml:space="preserve">2010-01-06 12:00:00</w:t>
            </w:r>
          </w:p>
        </w:tc>
        <w:tc>
          <w:p>
            <w:pPr>
              <w:pStyle w:val="Compact"/>
              <w:jc w:val="right"/>
            </w:pPr>
            <w:r>
              <w:t xml:space="preserve">4.21</w:t>
            </w:r>
          </w:p>
        </w:tc>
        <w:tc>
          <w:p>
            <w:pPr>
              <w:pStyle w:val="Compact"/>
              <w:jc w:val="left"/>
            </w:pPr>
            <w:r>
              <w:t xml:space="preserve">2010</w:t>
            </w:r>
          </w:p>
        </w:tc>
        <w:tc>
          <w:p>
            <w:pPr>
              <w:pStyle w:val="Compact"/>
              <w:jc w:val="left"/>
            </w:pPr>
            <w:r>
              <w:t xml:space="preserve">bb</w:t>
            </w:r>
          </w:p>
        </w:tc>
      </w:tr>
      <w:tr>
        <w:tc>
          <w:p>
            <w:pPr>
              <w:pStyle w:val="Compact"/>
              <w:jc w:val="left"/>
            </w:pPr>
            <w:r>
              <w:t xml:space="preserve">2010-01-07 12:00:00</w:t>
            </w:r>
          </w:p>
        </w:tc>
        <w:tc>
          <w:p>
            <w:pPr>
              <w:pStyle w:val="Compact"/>
              <w:jc w:val="right"/>
            </w:pPr>
            <w:r>
              <w:t xml:space="preserve">4.17</w:t>
            </w:r>
          </w:p>
        </w:tc>
        <w:tc>
          <w:p>
            <w:pPr>
              <w:pStyle w:val="Compact"/>
              <w:jc w:val="left"/>
            </w:pPr>
            <w:r>
              <w:t xml:space="preserve">2010</w:t>
            </w:r>
          </w:p>
        </w:tc>
        <w:tc>
          <w:p>
            <w:pPr>
              <w:pStyle w:val="Compact"/>
              <w:jc w:val="left"/>
            </w:pPr>
            <w:r>
              <w:t xml:space="preserve">bb</w:t>
            </w:r>
          </w:p>
        </w:tc>
      </w:tr>
      <w:tr>
        <w:tc>
          <w:p>
            <w:pPr>
              <w:pStyle w:val="Compact"/>
              <w:jc w:val="left"/>
            </w:pPr>
            <w:r>
              <w:t xml:space="preserve">2010-01-08 12:00:00</w:t>
            </w:r>
          </w:p>
        </w:tc>
        <w:tc>
          <w:p>
            <w:pPr>
              <w:pStyle w:val="Compact"/>
              <w:jc w:val="right"/>
            </w:pPr>
            <w:r>
              <w:t xml:space="preserve">3.74</w:t>
            </w:r>
          </w:p>
        </w:tc>
        <w:tc>
          <w:p>
            <w:pPr>
              <w:pStyle w:val="Compact"/>
              <w:jc w:val="left"/>
            </w:pPr>
            <w:r>
              <w:t xml:space="preserve">2010</w:t>
            </w:r>
          </w:p>
        </w:tc>
        <w:tc>
          <w:p>
            <w:pPr>
              <w:pStyle w:val="Compact"/>
              <w:jc w:val="left"/>
            </w:pPr>
            <w:r>
              <w:t xml:space="preserve">bb</w:t>
            </w:r>
          </w:p>
        </w:tc>
      </w:tr>
      <w:tr>
        <w:tc>
          <w:p>
            <w:pPr>
              <w:pStyle w:val="Compact"/>
              <w:jc w:val="left"/>
            </w:pPr>
            <w:r>
              <w:t xml:space="preserve">2010-01-13 12:00:00</w:t>
            </w:r>
          </w:p>
        </w:tc>
        <w:tc>
          <w:p>
            <w:pPr>
              <w:pStyle w:val="Compact"/>
              <w:jc w:val="right"/>
            </w:pPr>
            <w:r>
              <w:t xml:space="preserve">4.26</w:t>
            </w:r>
          </w:p>
        </w:tc>
        <w:tc>
          <w:p>
            <w:pPr>
              <w:pStyle w:val="Compact"/>
              <w:jc w:val="left"/>
            </w:pPr>
            <w:r>
              <w:t xml:space="preserve">2010</w:t>
            </w:r>
          </w:p>
        </w:tc>
        <w:tc>
          <w:p>
            <w:pPr>
              <w:pStyle w:val="Compact"/>
              <w:jc w:val="left"/>
            </w:pPr>
            <w:r>
              <w:t xml:space="preserve">bb</w:t>
            </w:r>
          </w:p>
        </w:tc>
      </w:tr>
    </w:tbl>
    <w:p>
      <w:pPr>
        <w:pStyle w:val="BodyText"/>
      </w:pPr>
      <w:r>
        <w:rPr>
          <w:b/>
        </w:rPr>
        <w:t xml:space="preserve">R / SQL Code Chunk - 1.</w:t>
      </w:r>
      <w:r>
        <w:t xml:space="preserve"> </w:t>
      </w:r>
      <w:r>
        <w:t xml:space="preserve">SQL queries can be executed from within an R function using a traditional RMarkdown chunk or within a traditional R script. Here the SQL query is embedded within the requisite</w:t>
      </w:r>
      <w:r>
        <w:t xml:space="preserve"> </w:t>
      </w:r>
      <w:r>
        <w:rPr>
          <w:i/>
        </w:rPr>
        <w:t xml:space="preserve">dbFetch(dbSendQuery())</w:t>
      </w:r>
      <w:r>
        <w:t xml:space="preserve"> </w:t>
      </w:r>
      <w:r>
        <w:t xml:space="preserve">functions to execute the query and plot a time series where the crab management field is equal to</w:t>
      </w:r>
      <w:r>
        <w:t xml:space="preserve"> </w:t>
      </w:r>
      <w:r>
        <w:t xml:space="preserve">“</w:t>
      </w:r>
      <w:r>
        <w:t xml:space="preserve">bb</w:t>
      </w:r>
      <w:r>
        <w:t xml:space="preserve">”</w:t>
      </w:r>
      <w:r>
        <w:t xml:space="preserve"> </w:t>
      </w:r>
      <w:r>
        <w:t xml:space="preserve">(Bristol Bay).</w:t>
      </w:r>
    </w:p>
    <w:p>
      <w:pPr>
        <w:pStyle w:val="SourceCode"/>
      </w:pPr>
      <w:r>
        <w:rPr>
          <w:rStyle w:val="CommentTok"/>
        </w:rPr>
        <w:t xml:space="preserve">#Plotted query of Bristol Bay crab management area SST data averaged daily and plotted with default smoothing.</w:t>
      </w:r>
      <w:r>
        <w:br w:type="textWrapping"/>
      </w:r>
      <w:r>
        <w:br w:type="textWrapping"/>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- 2.</w:t>
      </w:r>
      <w:r>
        <w:t xml:space="preserve"> </w:t>
      </w:r>
      <w:r>
        <w:t xml:space="preserve">SQL query of the OI_SST data set for the Eastern Gulf of Alaska for 2009-04-04. In this example, the data are saved as an object and plotted on a map of Alaska.</w:t>
      </w:r>
    </w:p>
    <w:p>
      <w:pPr>
        <w:pStyle w:val="SourceCode"/>
      </w:pPr>
      <w:r>
        <w:rPr>
          <w:rStyle w:val="CommentTok"/>
        </w:rPr>
        <w:t xml:space="preserve">#Query OISST temperature for the Eastern Gulf of Alaska on 4th of July 2021 and plot heatmap</w:t>
      </w:r>
      <w:r>
        <w:br w:type="textWrapping"/>
      </w:r>
      <w:r>
        <w:rPr>
          <w:rStyle w:val="NormalTok"/>
        </w:rPr>
        <w:t xml:space="preserve">oisst&lt;-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 temp, ecosystem_sub, longitude, latitude</w:t>
      </w:r>
      <w:r>
        <w:br w:type="textWrapping"/>
      </w:r>
      <w:r>
        <w:rPr>
          <w:rStyle w:val="StringTok"/>
        </w:rPr>
        <w:t xml:space="preserve">                            from afsc.erddap_oi_sst a                            </w:t>
      </w:r>
      <w:r>
        <w:br w:type="textWrapping"/>
      </w:r>
      <w:r>
        <w:rPr>
          <w:rStyle w:val="StringTok"/>
        </w:rPr>
        <w:t xml:space="preserve">                            INNER JOIN (select * </w:t>
      </w:r>
      <w:r>
        <w:br w:type="textWrapping"/>
      </w:r>
      <w:r>
        <w:rPr>
          <w:rStyle w:val="StringTok"/>
        </w:rPr>
        <w:t xml:space="preserve">                                      from afsc.erddap_oi_sst_spatial_lookup</w:t>
      </w:r>
      <w:r>
        <w:br w:type="textWrapping"/>
      </w:r>
      <w:r>
        <w:rPr>
          <w:rStyle w:val="StringTok"/>
        </w:rPr>
        <w:t xml:space="preserve">                                      where ecosystem_sub = 'Eastern Gulf of Alaska') b</w:t>
      </w:r>
      <w:r>
        <w:br w:type="textWrapping"/>
      </w:r>
      <w:r>
        <w:rPr>
          <w:rStyle w:val="StringTok"/>
        </w:rPr>
        <w:t xml:space="preserve">                            ON a.oi_id = b.id</w:t>
      </w:r>
      <w:r>
        <w:br w:type="textWrapping"/>
      </w:r>
      <w:r>
        <w:rPr>
          <w:rStyle w:val="StringTok"/>
        </w:rPr>
        <w:t xml:space="preserve">                            where read_date='04-JUL-09'"</w:t>
      </w:r>
      <w:r>
        <w:rPr>
          <w:rStyle w:val="NormalTok"/>
        </w:rPr>
        <w:t xml:space="preserve">)))</w:t>
      </w:r>
      <w:r>
        <w:br w:type="textWrapping"/>
      </w:r>
      <w:r>
        <w:rPr>
          <w:rStyle w:val="CommentTok"/>
        </w:rPr>
        <w:t xml:space="preserve">#import basemap polygon</w:t>
      </w:r>
      <w:r>
        <w:br w:type="textWrapping"/>
      </w:r>
      <w:r>
        <w:rPr>
          <w:rStyle w:val="KeywordTok"/>
        </w:rPr>
        <w:t xml:space="preserve">require</w:t>
      </w:r>
      <w:r>
        <w:rPr>
          <w:rStyle w:val="NormalTok"/>
        </w:rPr>
        <w:t xml:space="preserve">(sf) </w:t>
      </w:r>
      <w:r>
        <w:rPr>
          <w:rStyle w:val="CommentTok"/>
        </w:rPr>
        <w:t xml:space="preserve">#sf has a lot of improved functionality versus sp</w:t>
      </w:r>
      <w:r>
        <w:br w:type="textWrapping"/>
      </w:r>
      <w:r>
        <w:rPr>
          <w:rStyle w:val="NormalTok"/>
        </w:rPr>
        <w:t xml:space="preserve">BASE&lt;-</w:t>
      </w:r>
      <w:r>
        <w:rPr>
          <w:rStyle w:val="KeywordTok"/>
        </w:rPr>
        <w:t xml:space="preserve">st_read</w:t>
      </w:r>
      <w:r>
        <w:rPr>
          <w:rStyle w:val="NormalTok"/>
        </w:rPr>
        <w:t xml:space="preserve">(</w:t>
      </w:r>
      <w:r>
        <w:rPr>
          <w:rStyle w:val="DataTypeTok"/>
        </w:rPr>
        <w:t xml:space="preserve">dsn=</w:t>
      </w:r>
      <w:r>
        <w:rPr>
          <w:rStyle w:val="StringTok"/>
        </w:rPr>
        <w:t xml:space="preserve">"Data"</w:t>
      </w:r>
      <w:r>
        <w:rPr>
          <w:rStyle w:val="NormalTok"/>
        </w:rPr>
        <w:t xml:space="preserve">,</w:t>
      </w:r>
      <w:r>
        <w:rPr>
          <w:rStyle w:val="DataTypeTok"/>
        </w:rPr>
        <w:t xml:space="preserve">layer=</w:t>
      </w:r>
      <w:r>
        <w:rPr>
          <w:rStyle w:val="StringTok"/>
        </w:rPr>
        <w:t xml:space="preserve">"AKbasemap"</w:t>
      </w:r>
      <w:r>
        <w:rPr>
          <w:rStyle w:val="NormalTok"/>
        </w:rPr>
        <w:t xml:space="preserve">) </w:t>
      </w:r>
      <w:r>
        <w:rPr>
          <w:rStyle w:val="CommentTok"/>
        </w:rPr>
        <w:t xml:space="preserve"># Load basemap</w:t>
      </w:r>
    </w:p>
    <w:p>
      <w:pPr>
        <w:pStyle w:val="SourceCode"/>
      </w:pPr>
      <w:r>
        <w:rPr>
          <w:rStyle w:val="VerbatimChar"/>
        </w:rPr>
        <w:t xml:space="preserve">## Reading layer `AKbasemap' from data source `C:\Users\jordan.watson\Desktop\git\AKFIN_WebService\code\Data' using driver `ESRI Shapefile'</w:t>
      </w:r>
      <w:r>
        <w:br w:type="textWrapping"/>
      </w:r>
      <w:r>
        <w:rPr>
          <w:rStyle w:val="VerbatimChar"/>
        </w:rPr>
        <w:t xml:space="preserve">## Simple feature collection with 56 features and 9 fields</w:t>
      </w:r>
      <w:r>
        <w:br w:type="textWrapping"/>
      </w:r>
      <w:r>
        <w:rPr>
          <w:rStyle w:val="VerbatimChar"/>
        </w:rPr>
        <w:t xml:space="preserve">## geometry type:  MULTIPOLYGON</w:t>
      </w:r>
      <w:r>
        <w:br w:type="textWrapping"/>
      </w:r>
      <w:r>
        <w:rPr>
          <w:rStyle w:val="VerbatimChar"/>
        </w:rPr>
        <w:t xml:space="preserve">## dimension:      XYZ</w:t>
      </w:r>
      <w:r>
        <w:br w:type="textWrapping"/>
      </w:r>
      <w:r>
        <w:rPr>
          <w:rStyle w:val="VerbatimChar"/>
        </w:rPr>
        <w:t xml:space="preserve">## bbox:           xmin: -179.1473 ymin: -14.55255 xmax: 179.7785 ymax: 71.35256</w:t>
      </w:r>
      <w:r>
        <w:br w:type="textWrapping"/>
      </w:r>
      <w:r>
        <w:rPr>
          <w:rStyle w:val="VerbatimChar"/>
        </w:rPr>
        <w:t xml:space="preserve">## z_range:        zmin: 0 zmax: 0</w:t>
      </w:r>
      <w:r>
        <w:br w:type="textWrapping"/>
      </w:r>
      <w:r>
        <w:rPr>
          <w:rStyle w:val="VerbatimChar"/>
        </w:rPr>
        <w:t xml:space="preserve">## geographic CRS: NAD83</w:t>
      </w: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geom_tile</w:t>
      </w:r>
      <w:r>
        <w:rPr>
          <w:rStyle w:val="NormalTok"/>
        </w:rPr>
        <w:t xml:space="preserve">(</w:t>
      </w:r>
      <w:r>
        <w:rPr>
          <w:rStyle w:val="DataTypeTok"/>
        </w:rPr>
        <w:t xml:space="preserve">data=</w:t>
      </w:r>
      <w:r>
        <w:rPr>
          <w:rStyle w:val="NormalTok"/>
        </w:rPr>
        <w:t xml:space="preserve">oisst, </w:t>
      </w:r>
      <w:r>
        <w:rPr>
          <w:rStyle w:val="KeywordTok"/>
        </w:rPr>
        <w:t xml:space="preserve">aes</w:t>
      </w:r>
      <w:r>
        <w:rPr>
          <w:rStyle w:val="NormalTok"/>
        </w:rPr>
        <w:t xml:space="preserve">(LONGITUDE, LATITUDE, </w:t>
      </w:r>
      <w:r>
        <w:rPr>
          <w:rStyle w:val="DataTypeTok"/>
        </w:rPr>
        <w:t xml:space="preserve">fill=</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w:t>
      </w:r>
      <w:r>
        <w:rPr>
          <w:rStyle w:val="NormalTok"/>
        </w:rPr>
        <w:t xml:space="preserve">BASE, </w:t>
      </w:r>
      <w:r>
        <w:rPr>
          <w:rStyle w:val="DataTypeTok"/>
        </w:rPr>
        <w:t xml:space="preserve">fill=</w:t>
      </w:r>
      <w:r>
        <w:rPr>
          <w:rStyle w:val="StringTok"/>
        </w:rPr>
        <w:t xml:space="preserve">"gray60"</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130</w:t>
      </w:r>
      <w:r>
        <w:rPr>
          <w:rStyle w:val="NormalTok"/>
        </w:rPr>
        <w:t xml:space="preserve">))</w:t>
      </w:r>
      <w:r>
        <w:rPr>
          <w:rStyle w:val="OperatorTok"/>
        </w:rPr>
        <w:t xml:space="preserve">+</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scale_fill_viridis_c</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- 3.</w:t>
      </w:r>
      <w:r>
        <w:t xml:space="preserve"> </w:t>
      </w:r>
      <w:r>
        <w:t xml:space="preserve">SQL query of MUR SST associated with observer-reported catches of salmon sharks in the pelagic trawl fishery operating in NMFS areas &gt;= 620. The histogram illustrates the temperatures at which salmon sharks were caught by this fleet.</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"select distinct(a.haul_join), a.avg_sst_celsius as SST, b.obs_specie_code</w:t>
      </w:r>
      <w:r>
        <w:br w:type="textWrapping"/>
      </w:r>
      <w:r>
        <w:rPr>
          <w:rStyle w:val="StringTok"/>
        </w:rPr>
        <w:t xml:space="preserve">                                from council.comprehensive_obs a</w:t>
      </w:r>
      <w:r>
        <w:br w:type="textWrapping"/>
      </w:r>
      <w:r>
        <w:rPr>
          <w:rStyle w:val="StringTok"/>
        </w:rPr>
        <w:t xml:space="preserve">                                left join (select obs_specie_code, haul_join</w:t>
      </w:r>
      <w:r>
        <w:br w:type="textWrapping"/>
      </w:r>
      <w:r>
        <w:rPr>
          <w:rStyle w:val="StringTok"/>
        </w:rPr>
        <w:t xml:space="preserve">                                from council.comprehensive_obs</w:t>
      </w:r>
      <w:r>
        <w:br w:type="textWrapping"/>
      </w:r>
      <w:r>
        <w:rPr>
          <w:rStyle w:val="StringTok"/>
        </w:rPr>
        <w:t xml:space="preserve">                                where obs_specie_code=67) b</w:t>
      </w:r>
      <w:r>
        <w:br w:type="textWrapping"/>
      </w:r>
      <w:r>
        <w:rPr>
          <w:rStyle w:val="StringTok"/>
        </w:rPr>
        <w:t xml:space="preserve">                                on a.haul_join=b.haul_join</w:t>
      </w:r>
      <w:r>
        <w:br w:type="textWrapping"/>
      </w:r>
      <w:r>
        <w:rPr>
          <w:rStyle w:val="StringTok"/>
        </w:rPr>
        <w:t xml:space="preserve">                                where a.reporting_area_code&gt;= 620 and</w:t>
      </w:r>
      <w:r>
        <w:br w:type="textWrapping"/>
      </w:r>
      <w:r>
        <w:rPr>
          <w:rStyle w:val="StringTok"/>
        </w:rPr>
        <w:t xml:space="preserve">                                a.avg_sst_celsius&gt;0 and</w:t>
      </w:r>
      <w:r>
        <w:br w:type="textWrapping"/>
      </w:r>
      <w:r>
        <w:rPr>
          <w:rStyle w:val="StringTok"/>
        </w:rPr>
        <w:t xml:space="preserve">                                a.akr_gear_code = 'PTR'"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(OBS_SPECIE_CODE</w:t>
      </w:r>
      <w:r>
        <w:rPr>
          <w:rStyle w:val="OperatorTok"/>
        </w:rPr>
        <w:t xml:space="preserve">==</w:t>
      </w:r>
      <w:r>
        <w:rPr>
          <w:rStyle w:val="DecValTok"/>
        </w:rPr>
        <w:t xml:space="preserve">67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(SST))</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1"/>
      </w:pPr>
      <w:bookmarkStart w:id="40" w:name="bibliography"/>
      <w:r>
        <w:t xml:space="preserve">References</w:t>
      </w:r>
      <w:bookmarkEnd w:id="40"/>
    </w:p>
    <w:bookmarkStart w:id="62" w:name="refs"/>
    <w:bookmarkStart w:id="41" w:name="ref-Amante2009"/>
    <w:p>
      <w:pPr>
        <w:pStyle w:val="Bibliography"/>
      </w:pPr>
      <w:r>
        <w:t xml:space="preserve">Amante C, Eakins B. 2009. ETOPO1 1 Arc-Minute Global Relief Model: Procedures, Data Sources and Analysis. NOAA Technical Memorandum NESDIS NGDC-24 19.</w:t>
      </w:r>
      <w:r>
        <w:t xml:space="preserve"> </w:t>
      </w:r>
    </w:p>
    <w:bookmarkEnd w:id="41"/>
    <w:bookmarkStart w:id="42"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42"/>
    <w:bookmarkStart w:id="43"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w:t>
      </w:r>
      <w:r>
        <w:t xml:space="preserve"> </w:t>
      </w:r>
    </w:p>
    <w:bookmarkEnd w:id="43"/>
    <w:bookmarkStart w:id="44" w:name="ref-Ferriss2020"/>
    <w:p>
      <w:pPr>
        <w:pStyle w:val="Bibliography"/>
      </w:pPr>
      <w:r>
        <w:t xml:space="preserve">Ferriss B, Zador S. 2020. Ecosystem Status Report for the Gulf of Alaska, Stock Assessment and Fishery Evaluation Report..</w:t>
      </w:r>
      <w:r>
        <w:t xml:space="preserve"> </w:t>
      </w:r>
    </w:p>
    <w:bookmarkEnd w:id="44"/>
    <w:bookmarkStart w:id="45"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45"/>
    <w:bookmarkStart w:id="46"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46"/>
    <w:bookmarkStart w:id="47"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47"/>
    <w:bookmarkStart w:id="48"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48"/>
    <w:bookmarkStart w:id="49"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49"/>
    <w:bookmarkStart w:id="50" w:name="ref-Liu2014"/>
    <w:p>
      <w:pPr>
        <w:pStyle w:val="Bibliography"/>
      </w:pPr>
      <w:r>
        <w:t xml:space="preserve">Liu G, Heron SF, Mark Eakin C, Muller-Karger FE, Vega-Rodriguez M, Guild LS, Cour JL de la, Geiger EF, Skirving WJ, Burgess TF, Strong AE, Harris A, Maturi E, Ignatov A, Sapper J, Li J, Lynds S. 2014. Reef-scale thermal stress monitoring of coral ecosystems: New 5-km global products from NOAA coral reef watch. Remote Sensing.</w:t>
      </w:r>
      <w:r>
        <w:t xml:space="preserve"> </w:t>
      </w:r>
    </w:p>
    <w:bookmarkEnd w:id="50"/>
    <w:bookmarkStart w:id="51"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51"/>
    <w:bookmarkStart w:id="52" w:name="ref-Maturi2017"/>
    <w:p>
      <w:pPr>
        <w:pStyle w:val="Bibliography"/>
      </w:pPr>
      <w:r>
        <w:t xml:space="preserve">Maturi E, Harris A, Mittaz J, Sapper J, Wick G, Zhu X, Dash P, Koner P. 2017. A new high-resolution sea surface temperature blended analysis. Bulletin of the American Meteorological Society 98: 1015–1026.</w:t>
      </w:r>
      <w:r>
        <w:t xml:space="preserve"> </w:t>
      </w:r>
    </w:p>
    <w:bookmarkEnd w:id="52"/>
    <w:bookmarkStart w:id="53" w:name="ref-Minnett2019"/>
    <w:p>
      <w:pPr>
        <w:pStyle w:val="Bibliography"/>
      </w:pPr>
      <w:r>
        <w:t xml:space="preserve">Minnett PJ, Alvera-Azcárate A, Chin TM, Corlett GK, Gentemann CL, Karagali I, Li X, Marsouin A, Marullo S, Maturi E, Santoleri R, Saux Picart S, Steele M, Vazquez-Cuervo J. 2019. Half a century of satellite remote sensing of sea-surface temperature. Remote Sensing of Environment 233:.</w:t>
      </w:r>
      <w:r>
        <w:t xml:space="preserve"> </w:t>
      </w:r>
    </w:p>
    <w:bookmarkEnd w:id="53"/>
    <w:bookmarkStart w:id="54" w:name="ref-Ortiz2020"/>
    <w:p>
      <w:pPr>
        <w:pStyle w:val="Bibliography"/>
      </w:pPr>
      <w:r>
        <w:t xml:space="preserve">Ortiz I, Zador S. 2020. Ecosystem Status Report 2020: Aleutian Islands, Stock Assessment and Fishery Evaluation Report..</w:t>
      </w:r>
      <w:r>
        <w:t xml:space="preserve"> </w:t>
      </w:r>
    </w:p>
    <w:bookmarkEnd w:id="54"/>
    <w:bookmarkStart w:id="55"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55"/>
    <w:bookmarkStart w:id="56"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56"/>
    <w:bookmarkStart w:id="57" w:name="ref-Siddon2020"/>
    <w:p>
      <w:pPr>
        <w:pStyle w:val="Bibliography"/>
      </w:pPr>
      <w:r>
        <w:t xml:space="preserve">Siddon E. 2020. Ecosystem Status Report for the Eastern Bering Sea, Stock Assessment and Fishery Evaluation Report..</w:t>
      </w:r>
      <w:r>
        <w:t xml:space="preserve"> </w:t>
      </w:r>
    </w:p>
    <w:bookmarkEnd w:id="57"/>
    <w:bookmarkStart w:id="58" w:name="ref-Simons2020"/>
    <w:p>
      <w:pPr>
        <w:pStyle w:val="Bibliography"/>
      </w:pPr>
      <w:r>
        <w:t xml:space="preserve">Simons B. 2020. ERDDAP..</w:t>
      </w:r>
      <w:r>
        <w:t xml:space="preserve"> </w:t>
      </w:r>
    </w:p>
    <w:bookmarkEnd w:id="58"/>
    <w:bookmarkStart w:id="59"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59"/>
    <w:bookmarkStart w:id="60" w:name="ref-Thorson2017"/>
    <w:p>
      <w:pPr>
        <w:pStyle w:val="Bibliography"/>
      </w:pPr>
      <w:r>
        <w:t xml:space="preserve">Thorson JT, Ianelli JN, Kotwicki S. 2017. The relative influence of temperature and size-structure on fish distribution shifts: A case-study on Walleye pollock in the Bering Sea. Fish and Fisheries 18: 1073–1084.</w:t>
      </w:r>
      <w:r>
        <w:t xml:space="preserve"> </w:t>
      </w:r>
    </w:p>
    <w:bookmarkEnd w:id="60"/>
    <w:bookmarkStart w:id="61" w:name="ref-Welch2019"/>
    <w:p>
      <w:pPr>
        <w:pStyle w:val="Bibliography"/>
      </w:pPr>
      <w:r>
        <w:t xml:space="preserve">Welch H, Hazen EL, Bograd SJ, Jacox MG, Brodie S, Robinson D, Scales KL, Dewitt L, Lewison R. 2019. Practical considerations for operationalizing dynamic management tools. Journal of Applied Ecology 56: 459–469.</w:t>
      </w:r>
      <w:r>
        <w:t xml:space="preserve"> </w:t>
      </w:r>
    </w:p>
    <w:bookmarkEnd w:id="61"/>
    <w:bookmarkEnd w:id="62"/>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6" Target="media/rId26.jp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2021-08-16T18:51:50Z</dcterms:created>
  <dcterms:modified xsi:type="dcterms:W3CDTF">2021-08-16T18:51:50Z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