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77777777" w:rsidR="004B55D3" w:rsidRPr="00CB2C8B" w:rsidRDefault="007D1FE0">
      <w:pPr>
        <w:pStyle w:val="FirstParagraph"/>
        <w:rPr>
          <w:szCs w:val="24"/>
        </w:rPr>
      </w:pPr>
      <w:r w:rsidRPr="00CB2C8B">
        <w:rPr>
          <w:szCs w:val="24"/>
        </w:rPr>
        <w:t>The proliferation of operational satellite data has facilitated downstream data products catered towards specific fisheries applications in near real-time.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p>
    <w:p w14:paraId="58486C1B" w14:textId="77777777" w:rsidR="004B55D3" w:rsidRPr="00CB2C8B" w:rsidRDefault="007D1FE0">
      <w:pPr>
        <w:pStyle w:val="Heading1"/>
        <w:rPr>
          <w:sz w:val="24"/>
          <w:szCs w:val="24"/>
        </w:rPr>
      </w:pPr>
      <w:bookmarkStart w:id="2" w:name="introduction"/>
      <w:bookmarkEnd w:id="1"/>
      <w:r w:rsidRPr="00CB2C8B">
        <w:rPr>
          <w:sz w:val="24"/>
          <w:szCs w:val="24"/>
        </w:rPr>
        <w:t>Introduction</w:t>
      </w:r>
    </w:p>
    <w:p w14:paraId="6D683414" w14:textId="77777777" w:rsidR="004B55D3" w:rsidRPr="00CB2C8B" w:rsidRDefault="007D1FE0">
      <w:pPr>
        <w:pStyle w:val="FirstParagraph"/>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 xml:space="preserve">Ortiz and Zador </w:t>
        </w:r>
        <w:r w:rsidRPr="00CB2C8B">
          <w:rPr>
            <w:rStyle w:val="Hyperlink"/>
            <w:szCs w:val="24"/>
          </w:rPr>
          <w:lastRenderedPageBreak/>
          <w:t>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77777777" w:rsidR="004B55D3" w:rsidRPr="00CB2C8B" w:rsidRDefault="007D1FE0">
      <w:pPr>
        <w:pStyle w:val="BodyText"/>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 Such dynamics underscore the need for reliable access to near real-time water temperature data.</w:t>
      </w:r>
    </w:p>
    <w:p w14:paraId="6DF2474F" w14:textId="77777777" w:rsidR="004B55D3" w:rsidRPr="00CB2C8B" w:rsidRDefault="007D1FE0">
      <w:pPr>
        <w:pStyle w:val="BodyText"/>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pPr>
        <w:pStyle w:val="BodyText"/>
        <w:rPr>
          <w:szCs w:val="24"/>
        </w:rPr>
      </w:pPr>
      <w:r w:rsidRPr="00CB2C8B">
        <w:rPr>
          <w:szCs w:val="24"/>
        </w:rP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w:t>
      </w:r>
      <w:r w:rsidRPr="00CB2C8B">
        <w:rPr>
          <w:szCs w:val="24"/>
        </w:rPr>
        <w:lastRenderedPageBreak/>
        <w:t>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pPr>
        <w:pStyle w:val="Heading1"/>
        <w:rPr>
          <w:sz w:val="24"/>
          <w:szCs w:val="24"/>
        </w:rPr>
      </w:pPr>
      <w:bookmarkStart w:id="3" w:name="methods-results"/>
      <w:bookmarkEnd w:id="2"/>
      <w:r w:rsidRPr="00CB2C8B">
        <w:rPr>
          <w:sz w:val="24"/>
          <w:szCs w:val="24"/>
        </w:rPr>
        <w:t>Methods &amp; Results</w:t>
      </w:r>
    </w:p>
    <w:p w14:paraId="36970E6A" w14:textId="77777777" w:rsidR="004B55D3" w:rsidRPr="00CB2C8B" w:rsidRDefault="007D1FE0">
      <w:pPr>
        <w:pStyle w:val="FirstParagraph"/>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Simons 2020</w:t>
        </w:r>
      </w:hyperlink>
      <w:r w:rsidRPr="00CB2C8B">
        <w:rPr>
          <w:szCs w:val="24"/>
        </w:rPr>
        <w:t>) and downloaded as netCDF files within the Oracle database backend at the Alaska Fisheries Information Network (AKFIN), maintained by the Pacific States Marine Fisheries Commission. The SST data are publicly available but by ingesting them into the AKFIN backend, they can be seamlessly merged, behind the NOAA firewall, with confidential fishery-dependent data sets like observer, VMS, fish ticket data. These SST products provide gap-free data each day with a 1-2 day latency period.</w:t>
      </w:r>
    </w:p>
    <w:p w14:paraId="5C10C23C" w14:textId="77777777" w:rsidR="00CB2C8B" w:rsidRDefault="007D1FE0">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pPr>
        <w:pStyle w:val="BodyText"/>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pPr>
        <w:pStyle w:val="BodyText"/>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77777777" w:rsidR="004B55D3" w:rsidRPr="00CB2C8B" w:rsidRDefault="007D1FE0">
      <w:pPr>
        <w:pStyle w:val="BodyText"/>
        <w:rPr>
          <w:szCs w:val="24"/>
        </w:rPr>
      </w:pPr>
      <w:r w:rsidRPr="00CB2C8B">
        <w:rPr>
          <w:szCs w:val="24"/>
        </w:rP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backend of the AKFIN Oracle database system. Thus, as data are downloaded daily from ERDDAP servers across the spatial extent of Alaska’s waters, each SST record is matched via a database join on latitude and longitude to the spatial strata in which it falls.</w:t>
      </w:r>
    </w:p>
    <w:p w14:paraId="4CE36666" w14:textId="77777777" w:rsidR="004B55D3" w:rsidRDefault="004267A0">
      <w:r>
        <w:rPr>
          <w:noProof/>
        </w:rPr>
        <w:lastRenderedPageBreak/>
        <w:drawing>
          <wp:inline distT="0" distB="0" distL="0" distR="0" wp14:anchorId="49A53572" wp14:editId="62002C94">
            <wp:extent cx="5156835" cy="4773930"/>
            <wp:effectExtent l="0" t="0" r="0" b="0"/>
            <wp:docPr id="18" name="Picture 1" descr="C:\Users\jordan.watson\AppData\Local\Microsoft\Windows\INetCache\Content.Word\Figure_1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watson\AppData\Local\Microsoft\Windows\INetCache\Content.Word\Figure_1_map.png"/>
                    <pic:cNvPicPr>
                      <a:picLocks noChangeAspect="1" noChangeArrowheads="1"/>
                    </pic:cNvPicPr>
                  </pic:nvPicPr>
                  <pic:blipFill>
                    <a:blip r:embed="rId8" cstate="print">
                      <a:extLst>
                        <a:ext uri="{28A0092B-C50C-407E-A947-70E740481C1C}">
                          <a14:useLocalDpi xmlns:a14="http://schemas.microsoft.com/office/drawing/2010/main" val="0"/>
                        </a:ext>
                      </a:extLst>
                    </a:blip>
                    <a:srcRect b="14789"/>
                    <a:stretch>
                      <a:fillRect/>
                    </a:stretch>
                  </pic:blipFill>
                  <pic:spPr bwMode="auto">
                    <a:xfrm>
                      <a:off x="0" y="0"/>
                      <a:ext cx="5156835" cy="4773930"/>
                    </a:xfrm>
                    <a:prstGeom prst="rect">
                      <a:avLst/>
                    </a:prstGeom>
                    <a:noFill/>
                    <a:ln>
                      <a:noFill/>
                    </a:ln>
                  </pic:spPr>
                </pic:pic>
              </a:graphicData>
            </a:graphic>
          </wp:inline>
        </w:drawing>
      </w:r>
    </w:p>
    <w:p w14:paraId="4ADC29DA" w14:textId="77777777" w:rsidR="004B55D3" w:rsidRPr="00CB2C8B" w:rsidRDefault="007D1FE0" w:rsidP="00126238">
      <w:pPr>
        <w:pStyle w:val="ImageCaption"/>
        <w:spacing w:line="276" w:lineRule="auto"/>
        <w:rPr>
          <w:szCs w:val="24"/>
        </w:rPr>
      </w:pPr>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p>
    <w:p w14:paraId="7B3E5F04" w14:textId="77777777" w:rsidR="00126238" w:rsidRDefault="00126238">
      <w:pPr>
        <w:pStyle w:val="BodyText"/>
        <w:rPr>
          <w:szCs w:val="24"/>
        </w:rPr>
      </w:pPr>
    </w:p>
    <w:p w14:paraId="22D01FF4" w14:textId="77777777" w:rsidR="004B55D3" w:rsidRPr="00CB2C8B" w:rsidRDefault="007D1FE0">
      <w:pPr>
        <w:pStyle w:val="BodyText"/>
        <w:rPr>
          <w:szCs w:val="24"/>
        </w:rPr>
      </w:pPr>
      <w:r w:rsidRPr="00CB2C8B">
        <w:rPr>
          <w:szCs w:val="24"/>
        </w:rPr>
        <w:t>In addition to the spatial strata, each gridded SST location was also matched with the depth of the water at that location. The marmap library (Pante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14:paraId="2566A517" w14:textId="77777777" w:rsidR="004B55D3" w:rsidRPr="00CB2C8B" w:rsidRDefault="007D1FE0">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(web APIs), is ideal for accessing time series of aggregated data (e.g. daily SST averaged across a spatial stratum or multiple spatial strata) and for queries less than about 100,000 records. This approach </w:t>
      </w:r>
      <w:r w:rsidRPr="00CB2C8B">
        <w:rPr>
          <w:szCs w:val="24"/>
        </w:rPr>
        <w:lastRenderedPageBreak/>
        <w:t>leverages a simplified data access point (URL) that is outside of the AKFIN firewall and requires no user login. The second method, direct database access, requires a login to the AKFIN database backend and relies on SQL to extract either 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126238">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pPr>
        <w:pStyle w:val="BodyText"/>
        <w:rPr>
          <w:i/>
        </w:rPr>
      </w:pPr>
    </w:p>
    <w:p w14:paraId="077913AA" w14:textId="77777777" w:rsidR="004B55D3" w:rsidRDefault="007D1FE0">
      <w:pPr>
        <w:pStyle w:val="BodyText"/>
      </w:pPr>
      <w:r>
        <w:rPr>
          <w:i/>
        </w:rPr>
        <w:t>Customized Web Service (Web API)</w:t>
      </w:r>
    </w:p>
    <w:p w14:paraId="4AF4083F" w14:textId="77777777" w:rsidR="004B55D3" w:rsidRDefault="007D1FE0">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that web services allow users to execute queries without storing data locally which is particularly </w:t>
      </w:r>
      <w:r>
        <w:lastRenderedPageBreak/>
        <w:t>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0EED282A" w14:textId="77777777" w:rsidR="004B55D3" w:rsidRDefault="007D1FE0">
      <w:pPr>
        <w:pStyle w:val="BodyText"/>
      </w:pPr>
      <w:r>
        <w:t>The AKFIN web service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and the Ecosystem Status Report subregions (Ecosystem_sub) (e.g. Siddon 2020). This is the daily SST data set averaged by nmfs_area. A “?”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126238">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pPr>
        <w:pStyle w:val="BodyText"/>
      </w:pPr>
    </w:p>
    <w:p w14:paraId="5E87ED02" w14:textId="77777777" w:rsidR="00831326" w:rsidRDefault="00831326" w:rsidP="00831326">
      <w:pPr>
        <w:pStyle w:val="FirstParagraph"/>
        <w:spacing w:before="240" w:after="120" w:line="276" w:lineRule="auto"/>
        <w:rPr>
          <w:b/>
        </w:rPr>
      </w:pPr>
      <w:r>
        <w:rPr>
          <w:b/>
        </w:rPr>
        <w:lastRenderedPageBreak/>
        <w:pict w14:anchorId="03658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7.15pt;height:281.3pt">
            <v:imagedata r:id="rId12" o:title="esr_map_depth_filters"/>
          </v:shape>
        </w:pict>
      </w:r>
    </w:p>
    <w:p w14:paraId="3D0CEF86" w14:textId="0AA487E4" w:rsidR="00042AC0" w:rsidRDefault="00042AC0" w:rsidP="00831326">
      <w:pPr>
        <w:pStyle w:val="FirstParagraph"/>
        <w:spacing w:before="240" w:after="120" w:line="276" w:lineRule="auto"/>
      </w:pPr>
      <w:r>
        <w:rPr>
          <w:b/>
        </w:rPr>
        <w:t>Figure 4</w:t>
      </w:r>
      <w:r>
        <w:rPr>
          <w:b/>
        </w:rPr>
        <w:t>.</w:t>
      </w:r>
      <w:r>
        <w:t xml:space="preserve"> </w:t>
      </w:r>
      <w:r w:rsidR="00FF24C8">
        <w:t>Gridded SST data (</w:t>
      </w:r>
      <w:r w:rsidR="00F54B2A">
        <w:t>light</w:t>
      </w:r>
      <w:r w:rsidR="00FF24C8">
        <w:t xml:space="preserve"> grey) within each ESR region that are averaged to yield the daily SST values provided via the AKFIN web service. Continental shelf d</w:t>
      </w:r>
      <w:r>
        <w:t>epth filter</w:t>
      </w:r>
      <w:r w:rsidR="00FF24C8">
        <w:t>s</w:t>
      </w:r>
      <w:r>
        <w:t xml:space="preserve"> </w:t>
      </w:r>
      <w:r w:rsidR="00831326">
        <w:t xml:space="preserve">(10 - 200m) </w:t>
      </w:r>
      <w:r w:rsidR="00FF24C8">
        <w:t xml:space="preserve">are </w:t>
      </w:r>
      <w:r>
        <w:t>applied to the Bering Sea and Gulf of Alaska regions</w:t>
      </w:r>
      <w:r w:rsidR="00FF24C8">
        <w:t xml:space="preserve"> while the Aleutian Islands regions remain unfiltered</w:t>
      </w:r>
      <w:r>
        <w:t xml:space="preserve">. </w:t>
      </w:r>
      <w:r w:rsidR="00831326">
        <w:t xml:space="preserve">The number of gridded SST values vary by region: </w:t>
      </w:r>
      <w:r>
        <w:t>Western Aleutians (</w:t>
      </w:r>
      <w:r w:rsidR="00831326">
        <w:t xml:space="preserve">WAI, </w:t>
      </w:r>
      <w:r>
        <w:t>N=19538 records), Central Aleutians (</w:t>
      </w:r>
      <w:r w:rsidR="00831326">
        <w:t xml:space="preserve">CAI, </w:t>
      </w:r>
      <w:r>
        <w:t>N=17506 records), Eastern Aleutians (</w:t>
      </w:r>
      <w:r w:rsidR="00831326">
        <w:t xml:space="preserve">EAI, </w:t>
      </w:r>
      <w:r>
        <w:t>N=28031 records), Northern Bering Sea (</w:t>
      </w:r>
      <w:r w:rsidR="00831326">
        <w:t xml:space="preserve">NBS, </w:t>
      </w:r>
      <w:r>
        <w:t>N=19495 records), Southeastern Bering Sea (</w:t>
      </w:r>
      <w:r w:rsidR="00831326">
        <w:t xml:space="preserve">SEBS, </w:t>
      </w:r>
      <w:r>
        <w:t>N=24934 records), Western Gulf of Alaska (</w:t>
      </w:r>
      <w:r w:rsidR="00831326">
        <w:t xml:space="preserve">WGOA, </w:t>
      </w:r>
      <w:r>
        <w:t>N=8780 records), and Eastern Gulf of Alaska (</w:t>
      </w:r>
      <w:r w:rsidR="00831326">
        <w:t xml:space="preserve">EGOA, </w:t>
      </w:r>
      <w:r>
        <w:t>N=3343 records).</w:t>
      </w:r>
    </w:p>
    <w:p w14:paraId="344DA965" w14:textId="77777777" w:rsidR="00042AC0" w:rsidRDefault="00042AC0">
      <w:pPr>
        <w:pStyle w:val="BodyText"/>
      </w:pPr>
    </w:p>
    <w:p w14:paraId="156A7E82" w14:textId="77777777" w:rsidR="004B55D3" w:rsidRDefault="007D1FE0">
      <w:pPr>
        <w:pStyle w:val="BodyText"/>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you do not know the most recent date of the time series, you can choose an end date some time in the future and it will query all of the data that exist. The full CRW time series for a single spatial stratum yields more than 13,000 rows of data per area (i.e., daily data from 1985-01-01 to present). Dates are queried in the “yyyymmdd” format (e.g., “19871214” queries December 14, </w:t>
      </w:r>
      <w:r>
        <w:lastRenderedPageBreak/>
        <w:t>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318409E9" w14:textId="77777777" w:rsidR="004B55D3" w:rsidRDefault="007D1FE0">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17CEA77" w14:textId="77777777" w:rsidR="004B55D3" w:rsidRDefault="007D1FE0">
      <w:pPr>
        <w:pStyle w:val="BodyText"/>
      </w:pPr>
      <w:r>
        <w:rPr>
          <w:b/>
        </w:rPr>
        <w:t>Oracle database queries</w:t>
      </w:r>
      <w:r>
        <w:br/>
        <w:t>Some data users prefer the flexibility and transparency of querying raw gridded data directly from the Oracle server.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w:lastRenderedPageBreak/>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77777777" w:rsidR="004B55D3" w:rsidRDefault="007D1FE0">
      <w:pPr>
        <w:pStyle w:val="BodyText"/>
      </w:pPr>
      <w:r>
        <w:rPr>
          <w:b/>
        </w:rPr>
        <w:t>Matching SST data with fishery-dependent data</w:t>
      </w:r>
      <w:r>
        <w:br/>
        <w:t>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The comprehensives (e.g. comprehensive_obs for observer data) were developed to connect numerous fields relevant to fisheries data in one table. VMS data linked to SST can be accessed through the comprehensive_vms_v view in the AKFIN_MARTS schema in AKFIN. Note that these data are confidential and require authorization for data access.</w:t>
      </w:r>
    </w:p>
    <w:p w14:paraId="3982F227" w14:textId="77777777" w:rsidR="004B55D3" w:rsidRDefault="007D1FE0">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matched with the reported statistical areas on fish tickets based on the date that fishing was </w:t>
      </w:r>
      <w:r>
        <w:lastRenderedPageBreak/>
        <w:t>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pPr>
        <w:pStyle w:val="Heading1"/>
      </w:pPr>
      <w:bookmarkStart w:id="4" w:name="discussion"/>
      <w:bookmarkEnd w:id="3"/>
      <w:r>
        <w:t>Discussion</w:t>
      </w:r>
    </w:p>
    <w:p w14:paraId="63C5BD82" w14:textId="77777777" w:rsidR="004B55D3" w:rsidRDefault="007D1FE0">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pPr>
        <w:pStyle w:val="BodyText"/>
      </w:pPr>
      <w:r>
        <w:t>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(e.g. </w:t>
      </w:r>
      <w:hyperlink r:id="rId13">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pPr>
        <w:pStyle w:val="BodyText"/>
      </w:pPr>
      <w:r>
        <w:lastRenderedPageBreak/>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pPr>
        <w:pStyle w:val="Heading1"/>
      </w:pPr>
      <w:bookmarkStart w:id="5" w:name="acknowledgments"/>
      <w:bookmarkEnd w:id="4"/>
      <w:r>
        <w:t>Acknowledgments</w:t>
      </w:r>
    </w:p>
    <w:p w14:paraId="72040E30" w14:textId="77777777" w:rsidR="004B55D3" w:rsidRDefault="007D1FE0">
      <w:pPr>
        <w:pStyle w:val="FirstParagraph"/>
      </w:pPr>
      <w:r>
        <w:t>Bob Nigh and Rob Ames were instrumental in setting up and configuring database queries and web services.</w:t>
      </w:r>
    </w:p>
    <w:p w14:paraId="20A13C54" w14:textId="77777777" w:rsidR="00315933" w:rsidRDefault="00315933" w:rsidP="00315933">
      <w:pPr>
        <w:pStyle w:val="Heading1"/>
      </w:pPr>
      <w:bookmarkStart w:id="6" w:name="bibliography"/>
      <w:r>
        <w:t>References</w:t>
      </w:r>
    </w:p>
    <w:p w14:paraId="649423C7" w14:textId="77777777" w:rsidR="00315933" w:rsidRDefault="00315933" w:rsidP="00EB2722">
      <w:pPr>
        <w:pStyle w:val="Bibliography"/>
        <w:spacing w:line="240" w:lineRule="auto"/>
        <w:ind w:left="720" w:hanging="720"/>
      </w:pPr>
      <w:bookmarkStart w:id="7" w:name="ref-Amante2009"/>
      <w:bookmarkStart w:id="8"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9" w:name="ref-Barbeaux2020"/>
      <w:bookmarkEnd w:id="7"/>
      <w:r>
        <w:t>Barbeaux SJ, Holsman K, Zador S. 2020. Marine Heatwave Stress Test of Ecosystem-Based Fisheries Management in the Gulf of Alaska Pacific Cod Fishery. Frontiers in Marine Science 7: 1–21.</w:t>
      </w:r>
    </w:p>
    <w:p w14:paraId="43747330" w14:textId="77777777" w:rsidR="00315933" w:rsidRDefault="00315933" w:rsidP="00EB2722">
      <w:pPr>
        <w:pStyle w:val="Bibliography"/>
        <w:spacing w:line="240" w:lineRule="auto"/>
        <w:ind w:left="720" w:hanging="720"/>
      </w:pPr>
      <w:bookmarkStart w:id="10" w:name="ref-Breece2021"/>
      <w:bookmarkEnd w:id="9"/>
      <w:r>
        <w:t>Breece MW, Oliver MJ, Fox DA, Hale EA, Haulsee DE, Shatley M, Bograd SJ, Hazen EL, Welch H. 2021. A satellite‐based mobile warning system to reduce interactions with an endangered species. Ecological Applications.</w:t>
      </w:r>
    </w:p>
    <w:p w14:paraId="6573BEDE" w14:textId="77777777" w:rsidR="00315933" w:rsidRDefault="00315933" w:rsidP="00EB2722">
      <w:pPr>
        <w:pStyle w:val="Bibliography"/>
        <w:spacing w:line="240" w:lineRule="auto"/>
        <w:ind w:left="720" w:hanging="720"/>
      </w:pPr>
      <w:bookmarkStart w:id="11" w:name="ref-Ferriss2020"/>
      <w:bookmarkEnd w:id="10"/>
      <w:r>
        <w:t>Ferriss BE, Zador S. 2020. Ecosystem Status Report for the Gulf of Alaska, Stock Assessment and Fishery Evaluation Report.</w:t>
      </w:r>
    </w:p>
    <w:p w14:paraId="246E40F6" w14:textId="77777777" w:rsidR="00315933" w:rsidRDefault="00315933" w:rsidP="00EB2722">
      <w:pPr>
        <w:pStyle w:val="Bibliography"/>
        <w:spacing w:line="240" w:lineRule="auto"/>
        <w:ind w:left="720" w:hanging="720"/>
      </w:pPr>
      <w:bookmarkStart w:id="12" w:name="ref-Fredston2021"/>
      <w:bookmarkEnd w:id="11"/>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13" w:name="ref-Gaichas2014"/>
      <w:bookmarkEnd w:id="12"/>
      <w:r>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14" w:name="ref-Harley2020"/>
      <w:bookmarkEnd w:id="13"/>
      <w:r>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15" w:name="ref-Hazen2018"/>
      <w:bookmarkEnd w:id="14"/>
      <w:r>
        <w:lastRenderedPageBreak/>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16" w:name="ref-Holsman2016"/>
      <w:bookmarkEnd w:id="15"/>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17" w:name="ref-Liu2014"/>
      <w:bookmarkEnd w:id="16"/>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18" w:name="ref-Marshall2019"/>
      <w:bookmarkEnd w:id="17"/>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19" w:name="ref-Maturi2017"/>
      <w:bookmarkEnd w:id="18"/>
      <w:r>
        <w:t>Maturi E, Harris A, Mittaz J, Sapper J, Wick G, Zhu X, Dash P, Koner P. 2017. A new high-resolution sea surface temperature blended analysis. Bulletin of the American Meteorological Society 98: 1015–1026.</w:t>
      </w:r>
    </w:p>
    <w:p w14:paraId="45C55A3B" w14:textId="77777777" w:rsidR="00315933" w:rsidRDefault="00315933" w:rsidP="00EB2722">
      <w:pPr>
        <w:pStyle w:val="Bibliography"/>
        <w:spacing w:line="240" w:lineRule="auto"/>
        <w:ind w:left="720" w:hanging="720"/>
      </w:pPr>
      <w:bookmarkStart w:id="20" w:name="ref-Minnett2019"/>
      <w:bookmarkEnd w:id="19"/>
      <w:r>
        <w:t>Minnett PJ, Alvera-Azcárate A, Chin TM, Corlett GK, Gentemann CL, Karagali I, Li X, Marsouin A, Marullo S, Maturi E, Santoleri R, Saux Picart S, Steele M, Vazquez-Cuervo J. 2019. Half a century of satellite remote sensing of sea-surface temperature. Remote Sensing of Environment 233:</w:t>
      </w:r>
    </w:p>
    <w:p w14:paraId="3F236D77" w14:textId="77777777" w:rsidR="00315933" w:rsidRDefault="00315933" w:rsidP="00EB2722">
      <w:pPr>
        <w:pStyle w:val="Bibliography"/>
        <w:spacing w:line="240" w:lineRule="auto"/>
        <w:ind w:left="720" w:hanging="720"/>
      </w:pPr>
      <w:bookmarkStart w:id="21" w:name="ref-Ortiz2020"/>
      <w:bookmarkEnd w:id="20"/>
      <w:r>
        <w:t>Ortiz I, Zador S. 2020. Ecosystem Status Report 2020: Aleutian Islands, Stock Assessment and Fishery Evaluation Report.</w:t>
      </w:r>
    </w:p>
    <w:p w14:paraId="4D2B3483" w14:textId="77777777" w:rsidR="00315933" w:rsidRDefault="00315933" w:rsidP="00EB2722">
      <w:pPr>
        <w:pStyle w:val="Bibliography"/>
        <w:spacing w:line="240" w:lineRule="auto"/>
        <w:ind w:left="720" w:hanging="720"/>
      </w:pPr>
      <w:bookmarkStart w:id="22" w:name="ref-Pinsky2020"/>
      <w:bookmarkEnd w:id="21"/>
      <w:r>
        <w:t>Pinsky ML, Rogers LA, Morley JW, Frölicher TL. 2020. Ocean planning for species on the move provides substantial benefits and requires few trade-offs. Science Advances 6:</w:t>
      </w:r>
    </w:p>
    <w:p w14:paraId="0D8A6DF8" w14:textId="77777777" w:rsidR="00315933" w:rsidRDefault="00315933" w:rsidP="00EB2722">
      <w:pPr>
        <w:pStyle w:val="Bibliography"/>
        <w:spacing w:line="240" w:lineRule="auto"/>
        <w:ind w:left="720" w:hanging="720"/>
      </w:pPr>
      <w:bookmarkStart w:id="23" w:name="ref-Rogers2019"/>
      <w:bookmarkEnd w:id="22"/>
      <w:r>
        <w:t>Rogers LA, Griffin R, Young T, Fuller E, Martin KS, Pinsky ML. 2019. Shifting habitats expose fishing communities to risk under climate change. Nature Climate Change 9: 512–516.</w:t>
      </w:r>
    </w:p>
    <w:p w14:paraId="12A9778C" w14:textId="77777777" w:rsidR="00315933" w:rsidRDefault="00315933" w:rsidP="00EB2722">
      <w:pPr>
        <w:pStyle w:val="Bibliography"/>
        <w:spacing w:line="240" w:lineRule="auto"/>
        <w:ind w:left="720" w:hanging="720"/>
      </w:pPr>
      <w:bookmarkStart w:id="24" w:name="ref-Siddon2020"/>
      <w:bookmarkEnd w:id="23"/>
      <w:r>
        <w:t>Siddon E. 2020. Ecosystem Status Report for the Eastern Bering Sea, Stock Assessment and Fishery Evaluation Report.</w:t>
      </w:r>
    </w:p>
    <w:p w14:paraId="0A5BEF09" w14:textId="77777777" w:rsidR="008F4EF1" w:rsidRDefault="008F4EF1" w:rsidP="00EB2722">
      <w:pPr>
        <w:pStyle w:val="Bibliography"/>
        <w:spacing w:line="240" w:lineRule="auto"/>
        <w:ind w:left="720" w:hanging="720"/>
      </w:pPr>
      <w:bookmarkStart w:id="25" w:name="ref-Suryan2021"/>
      <w:bookmarkEnd w:id="24"/>
      <w:r w:rsidRPr="008F4EF1">
        <w:t>Simons, R.A. 2020. ERDDAP.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26" w:name="ref-Thorson2017"/>
      <w:bookmarkEnd w:id="25"/>
      <w:r>
        <w:lastRenderedPageBreak/>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27" w:name="ref-Welch2019"/>
      <w:bookmarkEnd w:id="26"/>
      <w:r>
        <w:t>Welch H, Hazen EL, Bograd SJ, Jacox MG, Brodie S, Robinson D, Scales KL, Dewitt L, Lewison R. 2019. Practical considerations for operationalizing dynamic management tools. Journal of Applied Ecology 56: 459–469.</w:t>
      </w:r>
      <w:bookmarkEnd w:id="6"/>
      <w:bookmarkEnd w:id="8"/>
      <w:bookmarkEnd w:id="27"/>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28" w:name="supplement"/>
      <w:bookmarkEnd w:id="5"/>
      <w:r>
        <w:lastRenderedPageBreak/>
        <w:t>Supplement</w:t>
      </w:r>
    </w:p>
    <w:p w14:paraId="2839BD89" w14:textId="77777777" w:rsidR="004B55D3" w:rsidRDefault="007D1FE0">
      <w:pPr>
        <w:pStyle w:val="FirstParagraph"/>
      </w:pPr>
      <w:r>
        <w:t>The following section provides examples of R and SQL code inputs and outputs that demonstrate the AKFIN SST web services and AKFIN backend SST data connection via Oracle SQL.</w:t>
      </w:r>
    </w:p>
    <w:p w14:paraId="4A28F15C" w14:textId="77777777" w:rsidR="00126238" w:rsidRDefault="00126238" w:rsidP="00126238">
      <w:pPr>
        <w:pStyle w:val="BodyText"/>
        <w:spacing w:line="276" w:lineRule="auto"/>
        <w:rPr>
          <w:b/>
        </w:rPr>
      </w:pPr>
    </w:p>
    <w:p w14:paraId="1FC01FEE" w14:textId="77777777" w:rsidR="004B55D3" w:rsidRDefault="007D1FE0" w:rsidP="00126238">
      <w:pPr>
        <w:pStyle w:val="BodyText"/>
        <w:spacing w:line="276" w:lineRule="auto"/>
      </w:pPr>
      <w:r>
        <w:rPr>
          <w:b/>
        </w:rPr>
        <w:t>R Code Chunk - 1.</w:t>
      </w:r>
      <w:r>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77777777" w:rsidR="004B55D3" w:rsidRDefault="007D1FE0" w:rsidP="00126238">
      <w:pPr>
        <w:pStyle w:val="BodyText"/>
        <w:spacing w:line="276" w:lineRule="auto"/>
      </w:pPr>
      <w:r>
        <w:rPr>
          <w:b/>
        </w:rPr>
        <w:lastRenderedPageBreak/>
        <w:t>R Code Chunk - 2.</w:t>
      </w:r>
      <w:r>
        <w:t xml:space="preserve"> Web service query of the full time series for NMFS area 640 (“nmfs_area=640”) from 1985-01-01 to present. To obtain a time series that includes the most recent records, specify an </w:t>
      </w:r>
      <w:r>
        <w:rPr>
          <w:i/>
        </w:rPr>
        <w:t>end_date</w:t>
      </w:r>
      <w:r>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77777777" w:rsidR="003511FB" w:rsidRPr="003511FB" w:rsidRDefault="007D1FE0" w:rsidP="00042AC0">
      <w:pPr>
        <w:pStyle w:val="FirstParagraph"/>
        <w:spacing w:line="276" w:lineRule="auto"/>
      </w:pPr>
      <w:r>
        <w:rPr>
          <w:b/>
        </w:rPr>
        <w:lastRenderedPageBreak/>
        <w:t xml:space="preserve">R Code Chunk - </w:t>
      </w:r>
      <w:r w:rsidR="003511FB">
        <w:rPr>
          <w:b/>
        </w:rPr>
        <w:t>3</w:t>
      </w:r>
      <w:r>
        <w:rPr>
          <w:b/>
        </w:rPr>
        <w:t>.</w:t>
      </w:r>
      <w:r>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4"/>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77777777" w:rsidR="003511FB" w:rsidRDefault="007D1FE0" w:rsidP="006F6227">
      <w:pPr>
        <w:pStyle w:val="BodyText"/>
        <w:spacing w:line="276" w:lineRule="auto"/>
      </w:pPr>
      <w:r>
        <w:rPr>
          <w:b/>
        </w:rPr>
        <w:lastRenderedPageBreak/>
        <w:t>R Code Chunk - 5.</w:t>
      </w:r>
      <w:r>
        <w:t xml:space="preserve"> The </w:t>
      </w:r>
      <w:r>
        <w:rPr>
          <w:i/>
        </w:rPr>
        <w:t>read_date</w:t>
      </w:r>
      <w:r>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77777777" w:rsidR="004B55D3" w:rsidRDefault="007D1FE0" w:rsidP="003511FB">
      <w:pPr>
        <w:pStyle w:val="BodyText"/>
        <w:spacing w:line="276" w:lineRule="auto"/>
      </w:pPr>
      <w:r>
        <w:rPr>
          <w:b/>
        </w:rPr>
        <w:lastRenderedPageBreak/>
        <w:t>R Code Chunk - 6.</w:t>
      </w:r>
      <w:r>
        <w:t xml:space="preserve"> Web service query demonstrating use of the </w:t>
      </w:r>
      <w:r>
        <w:rPr>
          <w:i/>
        </w:rPr>
        <w:t>days_back</w:t>
      </w:r>
      <w:r>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77777777" w:rsidR="004B55D3" w:rsidRDefault="007D1FE0" w:rsidP="003511FB">
      <w:pPr>
        <w:pStyle w:val="BodyText"/>
        <w:spacing w:line="276" w:lineRule="auto"/>
      </w:pPr>
      <w:r>
        <w:rPr>
          <w:b/>
        </w:rPr>
        <w:lastRenderedPageBreak/>
        <w:t>R Code Chunk - 7.</w:t>
      </w:r>
      <w:r>
        <w:t xml:space="preserve"> A date can be used in conjunction with the </w:t>
      </w:r>
      <w:r>
        <w:rPr>
          <w:i/>
        </w:rPr>
        <w:t>days_back</w:t>
      </w:r>
      <w:r>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77777777" w:rsidR="004B55D3" w:rsidRDefault="007D1FE0" w:rsidP="003511FB">
      <w:pPr>
        <w:pStyle w:val="BodyText"/>
        <w:spacing w:line="276" w:lineRule="auto"/>
      </w:pPr>
      <w:r>
        <w:rPr>
          <w:b/>
        </w:rPr>
        <w:lastRenderedPageBreak/>
        <w:t>R Code Chunk - 8.</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77777777" w:rsidR="004B55D3" w:rsidRDefault="007D1FE0" w:rsidP="003511FB">
      <w:pPr>
        <w:pStyle w:val="BodyText"/>
        <w:spacing w:line="276" w:lineRule="auto"/>
      </w:pPr>
      <w:r>
        <w:rPr>
          <w:b/>
        </w:rPr>
        <w:lastRenderedPageBreak/>
        <w:t>R Code Chunk - 9</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77777777" w:rsidR="004B55D3" w:rsidRDefault="007D1FE0" w:rsidP="006F6227">
      <w:pPr>
        <w:pStyle w:val="BodyText"/>
        <w:spacing w:line="276" w:lineRule="auto"/>
      </w:pPr>
      <w:r>
        <w:rPr>
          <w:b/>
        </w:rPr>
        <w:lastRenderedPageBreak/>
        <w:t>R Code Chunk - 10.</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52F0F045" w:rsidR="004B55D3" w:rsidRDefault="007D1FE0" w:rsidP="00315933">
      <w:pPr>
        <w:pStyle w:val="BodyText"/>
        <w:spacing w:line="276" w:lineRule="auto"/>
      </w:pPr>
      <w:r>
        <w:rPr>
          <w:b/>
        </w:rPr>
        <w:lastRenderedPageBreak/>
        <w:t>R Code Chunk - 1</w:t>
      </w:r>
      <w:r w:rsidR="007D3522">
        <w:rPr>
          <w:b/>
        </w:rPr>
        <w:t>1</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76295E27" w:rsidR="004B55D3" w:rsidRDefault="007D1FE0" w:rsidP="00315933">
      <w:pPr>
        <w:pStyle w:val="BodyText"/>
        <w:spacing w:line="276" w:lineRule="auto"/>
      </w:pPr>
      <w:r>
        <w:rPr>
          <w:b/>
        </w:rPr>
        <w:lastRenderedPageBreak/>
        <w:t>R Code Chunk - 1</w:t>
      </w:r>
      <w:r w:rsidR="007D3522">
        <w:rPr>
          <w:b/>
        </w:rPr>
        <w:t>2</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312C13E7" w:rsidR="004B55D3" w:rsidRDefault="007D1FE0" w:rsidP="004C28FF">
      <w:pPr>
        <w:pStyle w:val="BodyText"/>
        <w:spacing w:line="240" w:lineRule="auto"/>
      </w:pPr>
      <w:r>
        <w:rPr>
          <w:b/>
        </w:rPr>
        <w:lastRenderedPageBreak/>
        <w:t>R Code Chunk - 1</w:t>
      </w:r>
      <w:r w:rsidR="007D3522">
        <w:rPr>
          <w:b/>
        </w:rPr>
        <w:t>3</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555BBC76" w:rsidR="004B55D3" w:rsidRDefault="007D1FE0" w:rsidP="003D4F4E">
      <w:pPr>
        <w:pStyle w:val="BodyText"/>
        <w:spacing w:line="276" w:lineRule="auto"/>
      </w:pPr>
      <w:r>
        <w:rPr>
          <w:b/>
        </w:rPr>
        <w:lastRenderedPageBreak/>
        <w:t>R Code Chunk - 14.</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0C114E2D" w:rsidR="004B55D3" w:rsidRDefault="007D1FE0" w:rsidP="003D4F4E">
      <w:pPr>
        <w:pStyle w:val="FirstParagraph"/>
        <w:spacing w:line="276" w:lineRule="auto"/>
      </w:pPr>
      <w:r>
        <w:rPr>
          <w:b/>
        </w:rPr>
        <w:lastRenderedPageBreak/>
        <w:t>SQL Code Chunk - 1.</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7777777" w:rsidR="003D4F4E" w:rsidRDefault="003D4F4E" w:rsidP="00EF5437">
      <w:pPr>
        <w:pStyle w:val="BodyText"/>
        <w:spacing w:line="276" w:lineRule="auto"/>
      </w:pPr>
      <w:r>
        <w:rPr>
          <w:b/>
        </w:rPr>
        <w:lastRenderedPageBreak/>
        <w:t>SQL Code Chunk - 2.</w:t>
      </w:r>
      <w:r>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C7025">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C7025">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C7025">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C7025">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C7025">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C7025">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77777777" w:rsidR="004B55D3" w:rsidRDefault="007D1FE0" w:rsidP="00EF5437">
      <w:pPr>
        <w:pStyle w:val="BodyText"/>
        <w:spacing w:line="276" w:lineRule="auto"/>
      </w:pPr>
      <w:r>
        <w:rPr>
          <w:b/>
        </w:rPr>
        <w:lastRenderedPageBreak/>
        <w:t>SQL Code Chunk - 3.</w:t>
      </w:r>
      <w:r>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77777777" w:rsidR="004B55D3" w:rsidRDefault="007D1FE0" w:rsidP="00584DFD">
      <w:pPr>
        <w:pStyle w:val="BodyText"/>
        <w:spacing w:line="276" w:lineRule="auto"/>
      </w:pPr>
      <w:r>
        <w:rPr>
          <w:b/>
        </w:rPr>
        <w:lastRenderedPageBreak/>
        <w:t>R / SQL Code Chunk - 1.</w:t>
      </w:r>
      <w:r>
        <w:t xml:space="preserve"> SQL queries can be executed from within an R function using a traditional RMarkdown chunk or within a traditional R script. Here the SQL query is embedded within the requisite </w:t>
      </w:r>
      <w:r>
        <w:rPr>
          <w:i/>
        </w:rPr>
        <w:t>dbFetch(dbSendQuery())</w:t>
      </w:r>
      <w:r>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77777777" w:rsidR="004B55D3" w:rsidRDefault="007D1FE0" w:rsidP="00265F9D">
      <w:pPr>
        <w:pStyle w:val="BodyText"/>
        <w:spacing w:line="276" w:lineRule="auto"/>
      </w:pPr>
      <w:r>
        <w:rPr>
          <w:b/>
        </w:rPr>
        <w:lastRenderedPageBreak/>
        <w:t>R / SQL Code Chunk - 2.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77777777" w:rsidR="004B55D3" w:rsidRDefault="007D1FE0" w:rsidP="00C67083">
      <w:pPr>
        <w:pStyle w:val="BodyText"/>
        <w:spacing w:line="276" w:lineRule="auto"/>
      </w:pPr>
      <w:r>
        <w:rPr>
          <w:b/>
        </w:rPr>
        <w:lastRenderedPageBreak/>
        <w:t>R / SQL Code Chunk - 3.</w:t>
      </w:r>
      <w:r>
        <w:t xml:space="preserve"> SQL query of MUR SST associated with observer-reported catches of salmon sharks in the pelagic trawl fishery operating in NMFS areas &gt;= 620. The histogram illustrates th</w:t>
      </w:r>
      <w:bookmarkStart w:id="29" w:name="_GoBack"/>
      <w:bookmarkEnd w:id="29"/>
      <w:r>
        <w:t>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bookmarkEnd w:id="28"/>
    </w:p>
    <w:sectPr w:rsidR="004B55D3" w:rsidSect="003D4F4E">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A3287" w14:textId="77777777" w:rsidR="009F387F" w:rsidRDefault="009F387F">
      <w:pPr>
        <w:spacing w:before="0" w:line="240" w:lineRule="auto"/>
      </w:pPr>
      <w:r>
        <w:separator/>
      </w:r>
    </w:p>
  </w:endnote>
  <w:endnote w:type="continuationSeparator" w:id="0">
    <w:p w14:paraId="3F938BD1" w14:textId="77777777" w:rsidR="009F387F" w:rsidRDefault="009F38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9790D" w14:textId="77777777" w:rsidR="009F387F" w:rsidRDefault="009F387F">
      <w:r>
        <w:separator/>
      </w:r>
    </w:p>
  </w:footnote>
  <w:footnote w:type="continuationSeparator" w:id="0">
    <w:p w14:paraId="7C7A9263" w14:textId="77777777" w:rsidR="009F387F" w:rsidRDefault="009F38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AC0"/>
    <w:rsid w:val="00044BA0"/>
    <w:rsid w:val="000B59EF"/>
    <w:rsid w:val="00126238"/>
    <w:rsid w:val="001F4C7B"/>
    <w:rsid w:val="00265F9D"/>
    <w:rsid w:val="00315933"/>
    <w:rsid w:val="003511FB"/>
    <w:rsid w:val="003D4F4E"/>
    <w:rsid w:val="004267A0"/>
    <w:rsid w:val="004B55D3"/>
    <w:rsid w:val="004C28FF"/>
    <w:rsid w:val="004E29B3"/>
    <w:rsid w:val="00584DFD"/>
    <w:rsid w:val="00590D07"/>
    <w:rsid w:val="006F6227"/>
    <w:rsid w:val="00784D58"/>
    <w:rsid w:val="007D1FE0"/>
    <w:rsid w:val="007D3522"/>
    <w:rsid w:val="007D7D6E"/>
    <w:rsid w:val="00831326"/>
    <w:rsid w:val="008C23E8"/>
    <w:rsid w:val="008D6863"/>
    <w:rsid w:val="008E4725"/>
    <w:rsid w:val="008F4EF1"/>
    <w:rsid w:val="009F387F"/>
    <w:rsid w:val="00B86B75"/>
    <w:rsid w:val="00BC48D5"/>
    <w:rsid w:val="00C36279"/>
    <w:rsid w:val="00C67083"/>
    <w:rsid w:val="00CB2C8B"/>
    <w:rsid w:val="00D70E4C"/>
    <w:rsid w:val="00D72386"/>
    <w:rsid w:val="00E315A3"/>
    <w:rsid w:val="00EB2722"/>
    <w:rsid w:val="00EB5580"/>
    <w:rsid w:val="00EF5437"/>
    <w:rsid w:val="00F3582E"/>
    <w:rsid w:val="00F52238"/>
    <w:rsid w:val="00F54B2A"/>
    <w:rsid w:val="00FF164E"/>
    <w:rsid w:val="00FF24C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tcallahan.shinyapps.io/NBS_SEBS_SST_MHW/"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ceanview.pfeg.noaa.gov/whale_indice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4623</TotalTime>
  <Pages>36</Pages>
  <Words>6594</Words>
  <Characters>37588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24</cp:revision>
  <dcterms:created xsi:type="dcterms:W3CDTF">2021-09-03T16:56:00Z</dcterms:created>
  <dcterms:modified xsi:type="dcterms:W3CDTF">2021-09-06T23:13:00Z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