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w:t>
      </w:r>
      <w:r>
        <w:rPr>
          <w:b/>
        </w:rPr>
        <w:t xml:space="preserve">???</w:t>
      </w:r>
      <w:r>
        <w:t xml:space="preserve">, Holsman et al.</w:t>
      </w:r>
      <w:r>
        <w:t xml:space="preserve"> </w:t>
      </w:r>
      <w:hyperlink w:anchor="ref-Holsman2016">
        <w:r>
          <w:rPr>
            <w:rStyle w:val="Hyperlink"/>
          </w:rPr>
          <w:t xml:space="preserve">2016</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w:t>
      </w:r>
      <w:r>
        <w:rPr>
          <w:b/>
        </w:rPr>
        <w:t xml:space="preserve">???</w:t>
      </w:r>
      <w:r>
        <w:t xml:space="preserve">, Hazen et al.</w:t>
      </w:r>
      <w:r>
        <w:t xml:space="preserve"> </w:t>
      </w:r>
      <w:hyperlink w:anchor="ref-Hazen2018">
        <w:r>
          <w:rPr>
            <w:rStyle w:val="Hyperlink"/>
          </w:rPr>
          <w:t xml:space="preserve">2018</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1">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Heading1"/>
      </w:pPr>
      <w:bookmarkStart w:id="22" w:name="bibliography"/>
      <w:r>
        <w:t xml:space="preserve">References</w:t>
      </w:r>
      <w:bookmarkEnd w:id="22"/>
    </w:p>
    <w:bookmarkStart w:id="27" w:name="refs"/>
    <w:bookmarkStart w:id="23"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23"/>
    <w:bookmarkStart w:id="24"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24"/>
    <w:bookmarkStart w:id="25"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25"/>
    <w:bookmarkStart w:id="26"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26"/>
    <w:bookmarkEnd w:id="27"/>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1"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2021-06-08T00:27:02Z</dcterms:created>
  <dcterms:modified xsi:type="dcterms:W3CDTF">2021-06-08T00:27:02Z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