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Latino Access to Neuroscience Research in California</w:t>
      </w:r>
    </w:p>
    <w:p>
      <w:pPr>
        <w:pStyle w:val="Heading1"/>
      </w:pPr>
      <w:r>
        <w:t>1. Findings and purpose</w:t>
      </w:r>
    </w:p>
    <w:p>
      <w:r>
        <w:t>California contains a substantial neuroscience research infrastructure, and Latino investigators contribute to it across animal behavior, sensory physiology, neural development, neurotechnology, psychiatry, and cognitive aging. The accompanying directory documents identifiable lab leaders rather than treating Latino participation as absent. Its strongest neuroethology matches include Walter Gonzalez’s work on song and learned behavior at UCSF, Santiago Ramírez’s research on orchid-bee brains at UC Davis, and Markita Landry’s neurochemical imaging at Berkeley. Other labs study human neural development, addiction, social and physiological behavior, or neurological disease. Their existence matters scientifically and as a source of mentorship, collaboration, and visibility. It does not establish that access to those careers is equitable. [R3; Directory]</w:t>
      </w:r>
    </w:p>
    <w:p>
      <w:r>
        <w:t>The central finding is that access must be evaluated as a sequence of opportunities: entering college science, obtaining research experience, receiving useful mentorship, applying to graduate programs, completing advanced training, securing an independent position, and sustaining a laboratory. A person can succeed at one stage while facing exclusion at the next. A university can enroll many Latino students while allocating research placements through informal networks that those students do not know how to enter. A department can hire a Latino PI while offering inadequate staff support, lab space, or mentoring recognition. Counting enrollment or celebrating an exceptional scientist is therefore an incomplete assessment of access. [R6, R7]</w:t>
      </w:r>
    </w:p>
    <w:p>
      <w:r>
        <w:t>The evidence is uneven. A California qualitative study directly documents different experiences among Latina biology students, including class-related obstacles and exclusion in peer collaboration. A longitudinal study with substantial Latino participation connects quality mentorship and research experience to scientific identity and persistence. National data describe neuroscience doctorate recipients, but the sources examined do not yield a verified California-wide denominator of active neuroscience PIs with self-reported ethnicity. This report does not manufacture that missing percentage or infer a hiring disparity from the size of a web directory. [R2, R4, R5]</w:t>
      </w:r>
    </w:p>
    <w:p>
      <w:r>
        <w:t>The practical response is institutional: pay students for research work, make opportunities visible, support community-college transfers, train and reward mentors, evaluate admissions criteria against outcomes, and track access through independent lab leadership. These recommendations combine findings from the literature with explicitly proposed actions. They should be tested locally rather than presented as already proven solutions in every California neuroscience department. The goal is to make the scientific career attainable without requiring students to possess family wealth, insider knowledge, or an unusually well-connected sponsor. [R6, R9, R12, R13]</w:t>
      </w:r>
    </w:p>
    <w:p>
      <w:r>
        <w:br w:type="page"/>
      </w:r>
    </w:p>
    <w:p>
      <w:pPr>
        <w:pStyle w:val="Heading1"/>
      </w:pPr>
      <w:r>
        <w:t>2. Scope, identity evidence, and research method</w:t>
      </w:r>
    </w:p>
    <w:p>
      <w:r>
        <w:t>This review concerns living researchers with evidence of active California research leadership. The core directory covers nervous-system research: neuroethology, sensory processing, neural circuits, neurodevelopment, neurodegeneration, neurotechnology, and human cognitive or clinical neuroscience. Related education and mental-health research appear separately where their connection to neuroscience is indirect. Researchers located outside California, trainees without an independent group, and people with insufficient evidence of current lab leadership are not counted as confirmed core entries. An emeritus appointment is not itself proof of inactivity, but an old paper or faculty title is not sufficient proof of a current laboratory either. [Directory]</w:t>
      </w:r>
    </w:p>
    <w:p>
      <w:r>
        <w:t>Identity and professional activity were evaluated separately. For most core entries, background evidence comes from the Fred Hutch Atlas of Inspiring Hispanic/Latinx Scientists, a publicly curated faculty directory. This is described as public directory recognition, not converted into an undocumented claim of personal self-identification. Where a public biography explicitly establishes Latin American national origin, that narrower evidence is labeled separately. Spain-origin researchers are distinguished from Latin American-origin researchers. A surname, Spanish-language ability, degree from a Latin American university, or a study of Latino participants does not establish the investigator’s ethnicity. The directory preserves those distinctions. [R3]</w:t>
      </w:r>
    </w:p>
    <w:p>
      <w:r>
        <w:t>Searches combined web results, institutional faculty and laboratory pages, public biographical sources, and primary-paper records from Europe PMC. California candidates were examined by institutional and regional location, including the Bay Area, Sacramento/Davis and the Central Valley, greater Los Angeles, the Inland Empire, and San Diego. Lab leadership was supported where possible by an explicit PI designation, a current research-team page, an institutional description of the person’s laboratory, or converging faculty and recent research evidence. Links that returned errors or generic institutional pages were not treated as successful verification of the requested profile.</w:t>
      </w:r>
    </w:p>
    <w:p>
      <w:r>
        <w:t>For the access analysis, evidence was classified as California-specific, national neuroscience, national biomedical/STEM, or general academic research. Selected open-access articles were examined in full text; other records were evaluated through their abstracts and bibliographic metadata. Reviews, qualitative studies, longitudinal observational studies, administrative datasets, and meta-analyses have different inferential uses. The report states those differences when they affect the conclusion. It is a structured evidence synthesis, not a preregistered systematic review with an exhaustive indexed-search protocol.</w:t>
      </w:r>
    </w:p>
    <w:p>
      <w:r>
        <w:t>The user-named Scite, Sider Scholar, Consensus, Elicit, Wiley Scholar Gateway, and SciSpace plugins were not callable in this session. They are not credited as sources or represented as used. No researcher was contacted, and no private demographic information was sought. The result is an auditable public-source directory and an evidence-based report, with explicit verification gaps rather than guessed identities or inflated counts.</w:t>
      </w:r>
    </w:p>
    <w:p>
      <w:r>
        <w:br w:type="page"/>
      </w:r>
    </w:p>
    <w:p>
      <w:pPr>
        <w:pStyle w:val="Heading1"/>
      </w:pPr>
      <w:r>
        <w:t>3. California’s geography of opportunity</w:t>
      </w:r>
    </w:p>
    <w:p>
      <w:r>
        <w:t>California’s neuroscience opportunities are distributed across distinct research environments. The Bay Area contains major university, medical, and research-institute clusters. The verified directory includes UCSF labs led by Walter Gonzalez and Mercedes Paredes, and Berkeley’s Landry group. These examples span song-related systems neuroscience, human interneuron development, and chemical measurement of neural signaling. Their presence illustrates the range of scientific entry points available within one region. It does not show how many positions are open or how easily a student from a nearby community can obtain one. [Directory]</w:t>
      </w:r>
    </w:p>
    <w:p>
      <w:r>
        <w:t>The Sacramento/Davis region adds comparative and cellular research. Santiago Ramírez’s group connects bee biology to neural anatomy and sensory evolution. Elva Diaz studies mechanisms of neural development, including proliferation and synapse development. Rebecca Calisi-Rodríguez’s work combines animal behavior and stress physiology. These labs demonstrate that relevant neuroscience can sit in ecology, pharmacology, physiology, or behavior departments rather than only in a department named neuroscience. A directory limited to a single departmental label would miss useful mentors and undercount the field. [Directory]</w:t>
      </w:r>
    </w:p>
    <w:p>
      <w:r>
        <w:t>Greater Los Angeles includes research on neural development, human imaging, cognitive aging, and animal physiology. The UCLA entries include Valerie Tornini, Michael Wells, Leanna Hernandez, Mirella Díaz-Santos, and Adys Mendizabal, whose programs differ greatly in model system and research question. USC’s Constanza Cortes studies exercise, aging, and muscle–brain biology. CSU Long Beach’s Arturo Zavala runs behavioral neuroscience research on drug exposure across development. UC Riverside’s Martin Riccomagno provides a further Inland Empire route into circuit formation and neural development. These locations matter because public and private institutions serve different student populations and offer different kinds of research training. [Directory]</w:t>
      </w:r>
    </w:p>
    <w:p>
      <w:r>
        <w:t>San Diego includes UCSD labs led by Stacey Glasgow, Andrew Mendiola, Alex Chaim, and Alysson Muotri, with interests ranging from glia and neuroinflammation to RNA damage and neural stem-cell models. The directory also identifies unresolved leads in auditory, computational, and clinical neuroscience. Those leads are useful for scientific exploration but are kept outside confirmed demographic counts until the missing background or leadership evidence is established. [Directory]</w:t>
      </w:r>
    </w:p>
    <w:p>
      <w:r>
        <w:t>Geographic proximity is not equivalent to practical access. A nearby laboratory may still be difficult to reach because of transport, housing, course schedules, caregiving, or uncompensated work. Conversely, a remote analysis project can provide useful experience while failing to teach surgery, animal handling, microscopy, or electrophysiology. California institutions should design regionally appropriate partnerships rather than assume that every student can relocate to the most visible coastal research campus. This is a planning recommendation, not a measured regional access estimate.</w:t>
      </w:r>
    </w:p>
    <w:p>
      <w:r>
        <w:br w:type="page"/>
      </w:r>
    </w:p>
    <w:p>
      <w:pPr>
        <w:pStyle w:val="Heading1"/>
      </w:pPr>
      <w:r>
        <w:t>4. Representation: what the available numbers measure</w:t>
      </w:r>
    </w:p>
    <w:p>
      <w:r>
        <w:t>The U.S. Census Bureau’s California QuickFacts page displays Hispanic or Latino residents as 41.2% of the state population at the time of this review. This is a broad demographic context, not an estimate of the age-matched scientific workforce or the pool eligible for a faculty appointment. The same page reports a statewide median gross rent of $2,036 for 2020–2024. That figure supplies housing context, but it is not a graduate-student budget, a coastal-city rental estimate, or a measure specific to Latino households. [R1]</w:t>
      </w:r>
    </w:p>
    <w:p>
      <w:r>
        <w:t>The 2024 Survey of Earned Doctorates provides a more directly relevant national training measure. In the broad “Neurobiology and neurosciences” field, it reports 1,238 research doctorate recipients overall, 978 U.S. citizens and permanent residents, and 127 Hispanic or Latino recipients within that domestic category. The corresponding calculated share is 127 ÷ 978 = 13.0%, rounded to one decimal place. The narrower “Neuroscience” row reports 102 Hispanic or Latino recipients among 731 U.S. citizens and permanent residents, or 14.0%. These are national doctorate-completion figures, not California admissions, retention, faculty, or lab-leadership statistics. [R2]</w:t>
      </w:r>
    </w:p>
    <w:p>
      <w:r>
        <w:t>The denominator changes the interpretation. Dividing 127 by all 1,238 recipients would mix a domestic ethnicity numerator with a total that includes temporary-visa recipients and people in other citizenship-reporting categories. It would not supply a valid inclusive Latino share of all neuroscience doctorates. Similarly, comparing a single national graduation cohort directly with California’s entire population would combine different geography, age structures, citizenship coverage, and career stages. Neither calculation is used here to claim a statewide underrepresentation ratio. [R1, R2]</w:t>
      </w:r>
    </w:p>
    <w:p>
      <w:r>
        <w:t>For context, the same NSF table reports 864 Hispanic or Latino recipients among 7,094 domestic biological and biomedical science doctorate recipients, approximately 12.2%. This helps locate the neuroscience result within a broad training category. It does not establish whether a particular department is performing well, whether students complete at equal rates after entering, or how many graduates subsequently become PIs. Cohort-completion tables require admissions and longitudinal career information before those questions can be answered. [R2]</w:t>
      </w:r>
    </w:p>
    <w:p>
      <w:r>
        <w:t>The missing California PI denominator is an important result of the review. A public-source roster documents people, but a larger roster can reflect better biographies, more institutional publicity, or more intensive searching. It cannot independently establish a trend in representation. A credible statewide estimate would require a defined institutional frame, voluntary demographic reporting, clear criteria for active independence, and consistent treatment of joint appointments and missing data. Those are feasible data-collection tasks, not quantities that should be filled in through name classification.</w:t>
      </w:r>
    </w:p>
    <w:p>
      <w:r>
        <w:br w:type="page"/>
      </w:r>
    </w:p>
    <w:p>
      <w:pPr>
        <w:pStyle w:val="Heading1"/>
      </w:pPr>
      <w:r>
        <w:t>5. Early preparation and the opportunity to imagine research</w:t>
      </w:r>
    </w:p>
    <w:p>
      <w:r>
        <w:t>Neuroscience training begins before a student joins a research laboratory. Courses in biology, chemistry, mathematics, statistics, programming, and psychology can make later laboratory methods intelligible. Yet access is also shaped by whether students encounter research as a possible occupation. A curriculum can teach the nervous system while leaving the production of scientific knowledge invisible: who designs an experiment, how a laboratory is funded, how a student obtains a research position, and what graduate training involves. Explaining those processes early reduces reliance on family or social contacts to interpret the profession. [R6]</w:t>
      </w:r>
    </w:p>
    <w:p>
      <w:r>
        <w:t>This report does not provide California ethnicity-specific estimates of advanced-course availability or precollege neuroscience exposure. Those questions require school-level data beyond the workforce sources examined here. Nevertheless, the literature on STEM persistence supports evaluating institutions rather than attributing departures solely to student motivation. Estrada and colleagues’ 2016 review describes institutional barriers and recommends accountability for student outcomes. Its practical implication is that a department should examine what it offers, who can use it, and how its procedures distribute opportunity. [R6]</w:t>
      </w:r>
    </w:p>
    <w:p>
      <w:r>
        <w:t>Research exposure should present multiple forms of neuroscience. Students who first encounter only clinical medicine may not realize that hearing, bird song, insect behavior, glial biology, mathematics, and engineering can lead into nervous-system research. The California directory offers concrete examples: bee brain anatomy at Davis, zebra-finch song at UCSF, dopamine measurement at Berkeley, and neural stem-cell models at UCLA and UCSD. Showing those examples alongside the concepts they investigate makes the pathway specific rather than aspirational. No ethnicity-linked preference for any of these topics is assumed. [Directory]</w:t>
      </w:r>
    </w:p>
    <w:p>
      <w:r>
        <w:t>Evidence-based teaching can also improve access to the scientific content needed for research. Theobald and colleagues’ 2020 meta-analysis combined examination-score data from 15 studies involving 9,238 students and failure-rate data from 26 studies involving 44,606 students. Across the included STEM settings, active learning reduced examination achievement gaps by an average of 33% and passing-rate gaps by 45%. The effects varied, and high-intensity active learning mattered. These pooled results support inclusive course design, but they are not a measured effect for Latino neuroscience students in California. [R13]</w:t>
      </w:r>
    </w:p>
    <w:p>
      <w:r>
        <w:t>A practical introductory course would therefore combine clear explanations, structured analysis of real data, explicit instruction in research methods, and visible information about laboratory opportunities. It would give students repeated chances to interpret a figure, ask an experimental question, and receive feedback before a high-stakes assessment. For neuroscience access, the goal is preparation plus navigation: students need both the skills to contribute and a realistic route to a lab where those skills can develop.</w:t>
      </w:r>
    </w:p>
    <w:p>
      <w:r>
        <w:br w:type="page"/>
      </w:r>
    </w:p>
    <w:p>
      <w:pPr>
        <w:pStyle w:val="Heading1"/>
      </w:pPr>
      <w:r>
        <w:t>6. Community colleges, transfers, and Hispanic-serving institutions</w:t>
      </w:r>
    </w:p>
    <w:p>
      <w:r>
        <w:t>California’s pathways into research should include students who begin outside a research-intensive university. Community-college and transfer students may arrive with substantial academic preparation but less time to build relationships with faculty at the receiving institution. If laboratory admission depends on having completed an early campus-specific course, attending informal events, or knowing whom to email, a transfer student can be excluded by timing rather than by scientific potential. This is an institutional design problem to investigate locally, not a claim that every transfer student encounters the same experience. [R6]</w:t>
      </w:r>
    </w:p>
    <w:p>
      <w:r>
        <w:t>Hispanic-serving institutions also require a distinction between enrollment and research opportunity. Serving many Hispanic students does not by itself guarantee that students can undertake sustained, mentored research or obtain access to expensive neuroscience methods. The California qualitative study discussed later demonstrates why an MSI designation should not be treated as proof of an inclusive day-to-day culture. Within the same institutional setting, students described different experiences according to class, race, and how they were perceived by peers. [R4]</w:t>
      </w:r>
    </w:p>
    <w:p>
      <w:r>
        <w:t>NeuroID at the University of Puerto Rico–Río Piedras provides a neuroscience-specific example of an organized research pathway. Maldonado-Vlaar and García-Arrarás describe 14 years of undergraduate training, a mentorship network, and connections between undergraduate teaching institutions and research laboratories on the U.S. mainland. The 2024 account reports that the program guided dozens of Hispanic students toward neuroscience graduate programs. It is evidence that a coordinated institutional pathway can be built, not a randomized estimate of what the same model would achieve in California. [R12]</w:t>
      </w:r>
    </w:p>
    <w:p>
      <w:r>
        <w:t>A California adaptation could join community colleges, CSU campuses, and UC or private research institutions around paid placements with shared expectations. The receiving lab would name a mentor, provide training, and identify a project of appropriate scope. The sending institution would help students prepare academically and arrange compatible course schedules. The partnership would fund transport or temporary housing where necessary and would recognize the sending faculty’s mentoring contribution. These are proposed design features, grounded in the barriers described by the broader literature. [R6, R12]</w:t>
      </w:r>
    </w:p>
    <w:p>
      <w:r>
        <w:t>Evaluation should distinguish applicants, offers, accepted placements, completed placements, and subsequent transitions. A program that reports only the number of summer participants can conceal an inaccessible application process or a high rate of departures before completion. Transfer status, financial need, and voluntary ethnicity data can help identify where the pathway is failing. Institutions should also collect reasons for declining an offer: a student who cannot afford relocation is not equivalent to a student who no longer wants a scientific career. Tracking that distinction allows an intervention to address the actual obstacle.</w:t>
      </w:r>
    </w:p>
    <w:p>
      <w:r>
        <w:br w:type="page"/>
      </w:r>
    </w:p>
    <w:p>
      <w:pPr>
        <w:pStyle w:val="Heading1"/>
      </w:pPr>
      <w:r>
        <w:t>7. Money, time, and the first research position</w:t>
      </w:r>
    </w:p>
    <w:p>
      <w:r>
        <w:t>An unpaid research position asks a student to contribute labor while absorbing the cost of participation. That cost includes not only transport and meals but also wages forgone from another job. A student who has financial support can accept an opportunity that another equally capable student must decline. Calling the position voluntary does not remove that selection mechanism. The literature on institutional barriers and the socioeconomic origins of faculty makes this mechanism important to examine, although it does not supply a California neuroscience-specific causal estimate of unpaid research effects. [R6, R7]</w:t>
      </w:r>
    </w:p>
    <w:p>
      <w:r>
        <w:t>Morgan and colleagues surveyed 7,204 U.S. tenure-track faculty across eight disciplines. In their 2022 study, 22.2% reported at least one parent with a PhD, and faculty were estimated to be approximately 12 to 25 times more likely than the relevant general-population comparison to have a parent with a PhD. This is not a Latino-specific or neuroscience-specific result. It demonstrates that academic careers are disproportionately drawn from families with unusually high educational resources, which can include knowledge of the profession as well as material support. [R7]</w:t>
      </w:r>
    </w:p>
    <w:p>
      <w:r>
        <w:t>Housing makes the financial question concrete in California. Census QuickFacts reports statewide median gross rent of $2,036 for 2020–2024. A statewide median cannot describe the cost facing a particular student near a campus, and it should not be converted into an invented stipend shortfall. Institutions can instead compare their actual research compensation and training stipends with local housing, commuting, dependent-care, and insurance costs. The access question is whether participation is financially sustainable for someone without additional household support. [R1]</w:t>
      </w:r>
    </w:p>
    <w:p>
      <w:r>
        <w:t>Paid placements are therefore a priority recommendation. Compensation should arrive on a schedule that does not require students to front substantial expenses. Where research-for-credit is offered, tuition and opportunity costs should be made explicit. A short introductory observation experience and a semester-long position carrying genuine laboratory responsibilities are different commitments. Written role descriptions can identify expected hours, the duration of training, the work to be completed, and who will supervise it. Clear expectations benefit both students and laboratories. [R6]</w:t>
      </w:r>
    </w:p>
    <w:p>
      <w:r>
        <w:t>Payment alone is not sufficient. A paid position with unpredictable hours, no training, or little opportunity to analyze data may fail to support scientific development. The most useful institutional metric combines access with quality: who receives paid research, what they learn, whether their work receives acknowledgment, and whether the position opens subsequent opportunities. This approach avoids turning students into a head count while leaving the distribution of meaningful research tasks unchanged.</w:t>
      </w:r>
    </w:p>
    <w:p>
      <w:r>
        <w:br w:type="page"/>
      </w:r>
    </w:p>
    <w:p>
      <w:pPr>
        <w:pStyle w:val="Heading1"/>
      </w:pPr>
      <w:r>
        <w:t>8. Mentorship, scientific identity, and sponsorship</w:t>
      </w:r>
    </w:p>
    <w:p>
      <w:r>
        <w:t>Mentorship affects more than technical confidence. It can teach a student how to interpret a difficult result, choose a feasible project, prepare an application, ask for feedback, and recognize that struggling with an experiment is ordinary scientific work. Sponsorship is a related but distinct activity: a senior researcher recommends someone for a position, introduces them to collaborators, or advocates for their advancement. Students with no family connection to academia may need explicit access to both forms of support rather than an expectation that they will discover them informally. [R5, R6]</w:t>
      </w:r>
    </w:p>
    <w:p>
      <w:r>
        <w:t>Estrada, Hernandez, and Schultz’s 2018 longitudinal analysis provides unusually relevant evidence because its analytic sample included 1,015 students, of whom 40.3% were Hispanic/Latino/Latina. The study examined scientific self-efficacy, identity, and values, and related these to later STEM career pathways. Quality mentorship and research experiences during the junior and senior years were positively associated with integration into the scientific community. Scientific identity and values continued to predict persistence up to four years after graduation. These are longitudinal associations, not proof that assigning a particular mentor causes a specified change in every student. [R5]</w:t>
      </w:r>
    </w:p>
    <w:p>
      <w:r>
        <w:t>The finding helps explain why technical training alone may be insufficient. A student can learn a protocol yet remain unsure whether the profession welcomes them or whether they have a route to advancement. A mentor can make scientific norms intelligible: why results are presented in a certain way, how authorship is discussed, what a conference abstract requires, and how to contact a potential graduate advisor. Those tasks should be included in mentoring plans instead of being treated as optional favors for the most assertive students. [R5, R6]</w:t>
      </w:r>
    </w:p>
    <w:p>
      <w:r>
        <w:t>The California directory can help make mentors visible, but ethnic matching should not become a rigid rule. A Latino investigator is not automatically an effective mentor, available to accept trainees, or the best scientific fit for every Latino student. Nor should all mentoring responsibility fall on the small number of publicly identifiable Latino faculty. Students benefit from a network that can include a research supervisor, a near-peer mentor, an outside advisor, and someone who can address professional or personal concerns without controlling their funding. [R3, R5]</w:t>
      </w:r>
    </w:p>
    <w:p>
      <w:r>
        <w:t>Institutions should assess mentorship through observable practices: meeting frequency, feedback quality, trainee access to scientific work, professional introductions, and fair credit. They should recognize mentoring in workload and promotion decisions. This distributes responsibility across the department and makes support more reliable than a relationship dependent on one generous individual. The intended outcome is scientific independence, not permanent dependence on a single sponsor.</w:t>
      </w:r>
    </w:p>
    <w:p>
      <w:r>
        <w:br w:type="page"/>
      </w:r>
    </w:p>
    <w:p>
      <w:pPr>
        <w:pStyle w:val="Heading1"/>
      </w:pPr>
      <w:r>
        <w:t>9. Latina experiences: class and laboratory climate</w:t>
      </w:r>
    </w:p>
    <w:p>
      <w:r>
        <w:t>Rendon, Flores, and Schaefer’s 2025 study provides direct California evidence about how students experience a biology pathway adjacent to neuroscience. It combines focus groups, interviews, and journal material from 35 women at a University of California minority-serving campus: 21 self-identified Latina participants, eight Asian participants, and six African American participants. The authors anonymize the institutional setting. The study should therefore not be recast as an exposure of a named campus or used to estimate how frequently a particular experience occurs throughout California. [R4]</w:t>
      </w:r>
    </w:p>
    <w:p>
      <w:r>
        <w:t>Participants described a competitive academic culture, but they did not interpret or navigate it identically. The authors report that first-generation, working-class Latinas experienced academic culture shock and exclusion in peer collaboration. Some white-presenting, middle-class Latinas described a more seamless form of integration. These differences are important because a single Latino category can conceal substantial variation in class, racialization, family educational background, and how others respond to a student. The study offers evidence against treating all Latinas as having an identical educational experience. [R4]</w:t>
      </w:r>
    </w:p>
    <w:p>
      <w:r>
        <w:t>Peer collaboration can be an access mechanism. Students may obtain information about instructors, problem-solving methods, research openings, or application procedures through classmates. Being repeatedly rebuffed when trying to work with peers can therefore affect both coursework and entry into research. The study does not isolate a quantitative causal effect of those interactions on later PI appointments. It does show why an institution cannot evaluate inclusion solely from demographic enrollment or the existence of support offices. [R4]</w:t>
      </w:r>
    </w:p>
    <w:p>
      <w:r>
        <w:t>For a neuroscience laboratory, a corresponding assessment should ask who receives explanations, whose questions are taken seriously, and who is invited to analyze data or present results. It should distinguish a normal disagreement about scientific interpretation from recurring patterns of humiliation, exclusion, or unequal opportunity. Confidential climate feedback can reveal problems before a trainee leaves. Students also need reporting routes that do not require them to confront the person who writes their recommendation or controls their salary. These are institutional recommendations informed by the broader evidence. [R4, R6]</w:t>
      </w:r>
    </w:p>
    <w:p>
      <w:r>
        <w:t>The response should avoid cultural stereotypes. Family relationships, language, migration histories, and financial responsibilities vary within Latino populations. Asking students what support they need is more useful than assigning assumed traits to them. Likewise, belonging should not be measured as a demand that students assimilate to every existing lab norm. Institutions can preserve rigorous scientific standards while changing avoidable practices that make participation unnecessarily difficult.</w:t>
      </w:r>
    </w:p>
    <w:p>
      <w:r>
        <w:br w:type="page"/>
      </w:r>
    </w:p>
    <w:p>
      <w:pPr>
        <w:pStyle w:val="Heading1"/>
      </w:pPr>
      <w:r>
        <w:t>10. Admissions and the interpretation of preparation</w:t>
      </w:r>
    </w:p>
    <w:p>
      <w:r>
        <w:t>Graduate admissions can reproduce unequal access when committees interpret previous opportunity as innate potential. A prestigious lab, a familiar recommender, or extensive unpaid research may reflect genuine achievement, but also access to resources that other applicants lacked. A committee must evaluate scientific readiness without treating the availability of earlier opportunities as proof of personal merit or the absence of those opportunities as proof of inability. This distinction is particularly important for applicants from teaching-focused institutions and community-college pathways. [R6, R7]</w:t>
      </w:r>
    </w:p>
    <w:p>
      <w:r>
        <w:t>Sealy and colleagues’ 2019 biomedical study examined 32 students recruited to Vanderbilt’s Initiative for Maximizing Student Diversity from 2007–2011; 28 had completed the PhD at the time of reporting. GRE scores were collected but not used for admissions decisions and covered a broad percentile range. The authors found no predictive association with several long-term graduate outcomes, including publication measures, time to degree, fellowship awards, and faculty evaluations. This is a small, single-program study, but its design addresses the restricted score range present when programs admit only high-scoring students. [R9]</w:t>
      </w:r>
    </w:p>
    <w:p>
      <w:r>
        <w:t>The appropriate conclusion is to validate an admissions measure against outcomes before assigning it large weight. The study does not establish that all exams, all programs, or every academic indicator are useless. It does challenge the assumption that a familiar standardized score necessarily identifies future biomedical researchers. California neuroscience programs should evaluate their own criteria and outcomes, while avoiding analyses that merely confirm a restricted admissions pool selected by the same criteria being tested. [R9]</w:t>
      </w:r>
    </w:p>
    <w:p>
      <w:r>
        <w:t>A structured review can separate dimensions of preparation: understanding of research questions, ability to reason with evidence, persistence in learning, technical exposure, and the support required to transition successfully. Committees can consider employment and caregiving commitments when interpreting the amount of time available for prior research. Applicants should receive plain descriptions of funding, required materials, interview expectations, and how laboratory matching works. Application fees and fragmented procedures should also be assessed as access costs. [R6]</w:t>
      </w:r>
    </w:p>
    <w:p>
      <w:r>
        <w:t>Holistic review needs accountability rather than an unstructured invitation to intuition. Reviewers should use consistent criteria, document decisions, and examine offer and enrollment patterns using voluntary demographic information. A program can also provide preparation resources before selection, including examples of research statements and explanations of recommendation expectations. These measures do not guarantee equitable admissions, but they make the process more transparent and testable than an informal judgment about whether someone already resembles the program’s existing trainees.</w:t>
      </w:r>
    </w:p>
    <w:p>
      <w:r>
        <w:br w:type="page"/>
      </w:r>
    </w:p>
    <w:p>
      <w:pPr>
        <w:pStyle w:val="Heading1"/>
      </w:pPr>
      <w:r>
        <w:t>11. Graduate training and the distribution of scientific work</w:t>
      </w:r>
    </w:p>
    <w:p>
      <w:r>
        <w:t>Admission is only the beginning of access to a research career. Graduate students must obtain a productive project, appropriate supervision, access to equipment and data, and opportunities to develop independent judgment. Two students in the same program can receive different experiences if one is repeatedly assigned routine maintenance while another designs experiments and presents findings. An institution that counts entrants without examining the distribution of scientific work can miss a source of later inequality. This is a mechanism to assess locally, not a measured Latino-specific disparity established by the present directory. [R5, R6]</w:t>
      </w:r>
    </w:p>
    <w:p>
      <w:r>
        <w:t>Research experience should move a trainee toward increasing independence. Early work may appropriately involve learning a protocol or maintaining a model system. Over time, the student should also learn why the experiment is being performed, what alternative interpretations exist, how to quantify uncertainty, and how a result changes the next experiment. The mentoring evidence supports attention to scientific identity and values as well as confidence. A student who performs tasks without participating in interpretation may gain technical skill while remaining peripheral to the intellectual life of the lab. [R5]</w:t>
      </w:r>
    </w:p>
    <w:p>
      <w:r>
        <w:t>Written expectations can make those developmental steps visible. A mentoring agreement should describe meeting frequency, project ownership, training needs, data management, authorship discussion, and procedures for resolving disagreements. Expectations should be revised when a project changes rather than used as a rigid productivity contract. A second faculty mentor can provide advice when the primary supervisor is unavailable or when the student needs an independent view of a problem. These are proposed protections intended to improve training reliability, not evidence that every existing California program lacks them. [R6]</w:t>
      </w:r>
    </w:p>
    <w:p>
      <w:r>
        <w:t>Financial and personal circumstances should be evaluated without requiring students to disclose more private information than necessary. Students may need dependent-care support, accessible equipment, medical accommodations, or predictable work schedules. These circumstances are not unique to Latinos, and they vary substantially within Latino populations. An institution can make support available through clear, confidential procedures instead of requiring a trainee to persuade an individual PI that the need is legitimate. Broad academic evidence on parenthood reinforces the importance of care-related policies, while not providing a Latino neuroscience-specific effect estimate. [R15]</w:t>
      </w:r>
    </w:p>
    <w:p>
      <w:r>
        <w:t>Graduate outcomes should include time to degree, completion, publication opportunities, placement, and reasons for departure. Choosing a scientific career outside academia is not a failure. Leaving research because a position is financially unsustainable or a supervisory relationship is harmful is a different outcome. Separating those trajectories prevents a department from labeling every departure as loss of motivation and helps identify changes that could preserve access to the profession.</w:t>
      </w:r>
    </w:p>
    <w:p>
      <w:r>
        <w:br w:type="page"/>
      </w:r>
    </w:p>
    <w:p>
      <w:pPr>
        <w:pStyle w:val="Heading1"/>
      </w:pPr>
      <w:r>
        <w:t>12. Postdoctoral transitions and the route to independence</w:t>
      </w:r>
    </w:p>
    <w:p>
      <w:r>
        <w:t>The postdoctoral stage can deepen scientific expertise while increasing dependence on a supervisor, a funding stream, and a temporary employment arrangement. Researchers may need to relocate, learn a new method, establish a publication record, and develop a distinct research agenda at the same time. For someone without household financial support or professional networks, the transition can be particularly difficult. The socioeconomic faculty study makes this concern plausible, but it does not measure the size of a Latino postdoctoral disadvantage in California neuroscience. [R7]</w:t>
      </w:r>
    </w:p>
    <w:p>
      <w:r>
        <w:t>Independence requires more than producing papers. A postdoctoral researcher needs a scientific question that can become their own program, permission to take relevant tools or data where appropriate, experience preparing grants, and introductions that do not depend solely on the supervisor’s personal network. These expectations should be negotiated early. An investigator can be a strong technical mentor while providing little sponsorship for the next career stage. The distinction between mentoring and advocacy remains important when evaluating the quality of a training environment. [R5, R6]</w:t>
      </w:r>
    </w:p>
    <w:p>
      <w:r>
        <w:t>Caregiving and relocation can interact with career timing. Morgan and colleagues’ 2021 study examined parenthood and publication trajectories among 3,064 tenure-track faculty in computer science, history, and business departments in the United States and Canada. It reported a short-term productivity penalty associated with motherhood and described the importance respondents placed on paid leave and childcare. These are not neuroscience or Latino-specific data. They justify assessing institutional policies without assuming that a publication interruption always reflects lower scientific ability or commitment. [R15]</w:t>
      </w:r>
    </w:p>
    <w:p>
      <w:r>
        <w:t>A California department can make postdoctoral support concrete through salary transparency, benefits information, accessible leave procedures, and documented expectations about research independence. It can provide grant-writing opportunities, practice job talks, and introductions to collaborators beyond the home lab. Mentoring should include alternatives to faculty employment, including staff-scientist, industry, education, and public-sector research roles. Broadening informed choice is compatible with the user’s narrower directory requirement of independent active labs; it does not mean every scientific career must culminate in a PI position.</w:t>
      </w:r>
    </w:p>
    <w:p>
      <w:r>
        <w:t>Success should be measured through transitions rather than prestige alone. An institution should know how many postdocs seek independent positions, how many receive interviews and offers, and whether the opportunities support the kind of research they want to lead. Voluntary demographic data can identify disparities while preserving privacy. The purpose is to locate obstacles in the transition and improve support, not to pressure every trainee to pursue the same career or to assign an individual’s outcome to ethnicity.</w:t>
      </w:r>
    </w:p>
    <w:p>
      <w:r>
        <w:br w:type="page"/>
      </w:r>
    </w:p>
    <w:p>
      <w:pPr>
        <w:pStyle w:val="Heading1"/>
      </w:pPr>
      <w:r>
        <w:t>13. Funding: distinguish Latino evidence from broader disparities</w:t>
      </w:r>
    </w:p>
    <w:p>
      <w:r>
        <w:t>Funding determines whether an independent lab can hire personnel, maintain model systems, purchase equipment, and sustain a research question over several years. A PI may hold a faculty appointment while lacking the resources necessary to build a durable program. Funding access therefore belongs in an account of research participation, but the evidence must be interpreted by agency, population, time period, and award type. A disparity reported for one group or grant mechanism cannot simply be transferred to Latino neuroscientists in California. [R10, R11]</w:t>
      </w:r>
    </w:p>
    <w:p>
      <w:r>
        <w:t>Chen and colleagues’ 2022 study analyzed NSF proposal and award information spanning 1996–2019, including more than one million decisions. It found persistent racial differences in funding rates and examined research versus non-research awards and disciplinary directorates. The study also discusses changes in how Hispanic ethnicity and race were tabulated. Before a reporting change, Hispanic applicants were treated differently in race-based summaries than afterward. Those details matter because race and Hispanic ethnicity are not interchangeable categories, and they affect comparisons across time. [R10]</w:t>
      </w:r>
    </w:p>
    <w:p>
      <w:r>
        <w:t>Ginther and colleagues’ 2011 NIH R01 analysis is influential evidence about funding disparities, but its widely cited adjusted ten-percentage-point difference concerns Black applicants relative to White applicants. It is not a measured ten-point Latino funding deficit. This report does not reuse that number as if it answered the California Latino question. The study is relevant to the need for transparent funding data and careful adjustment, while its specific group-level result must retain its original meaning. [R11]</w:t>
      </w:r>
    </w:p>
    <w:p>
      <w:r>
        <w:t>A useful California analysis would separate several stages: eligibility to apply, submission, review scores, funding, resubmission, award size, and subsequent renewal. It would also consider institute or directorate, career stage, institution, and research topic. Equal award rates among submitted proposals would not demonstrate equal access to the resources needed to submit a competitive proposal. Conversely, a descriptive award-rate difference alone would not isolate a particular discriminatory mechanism. Those questions require different data and research designs. [R10, R11]</w:t>
      </w:r>
    </w:p>
    <w:p>
      <w:r>
        <w:t>Institutions can act before a perfect statewide dataset exists. They can provide transparent internal seed-funding criteria, grant-development support, shared equipment access, and bridge funding that is not allocated only through informal relationships. They can examine whether early-career investigators receive comparable startup resources and practical administrative support. These are proposed institutional interventions. Their effects should be evaluated using documented decisions and outcomes, rather than assumed from a policy’s stated commitment to diversity.</w:t>
      </w:r>
    </w:p>
    <w:p>
      <w:r>
        <w:br w:type="page"/>
      </w:r>
    </w:p>
    <w:p>
      <w:pPr>
        <w:pStyle w:val="Heading1"/>
      </w:pPr>
      <w:r>
        <w:t>14. Hiring, startup resources, and sustained lab leadership</w:t>
      </w:r>
    </w:p>
    <w:p>
      <w:r>
        <w:t>An independent faculty appointment is a major transition, but it should not be treated as the endpoint of access. A new PI must turn a research plan into a functioning laboratory. That may require space, specialized equipment, animal facilities, participant recruitment, staff hiring, data infrastructure, and time protected from other responsibilities. A department can recruit a talented investigator while failing to supply the conditions needed for the investigator’s program to succeed. The directory identifies leaders; it does not audit those resources or compare their startup packages. [Directory]</w:t>
      </w:r>
    </w:p>
    <w:p>
      <w:r>
        <w:t>The socioeconomic concentration of the professoriate makes hiring criteria worth examining. Morgan and colleagues show that faculty backgrounds are disproportionately educationally privileged across the disciplines they sampled. Hofstra and colleagues’ large-scale study further reports that novel contributions from underrepresented groups were less likely to receive comparable uptake and career rewards. Neither study establishes a California neuroscience hiring coefficient for Latinos. Together, they challenge a simple assumption that conventional indicators of prestige and recognition fully capture scientific promise without social influences. [R7, R8]</w:t>
      </w:r>
    </w:p>
    <w:p>
      <w:r>
        <w:t>Hiring evaluations should therefore ask what an applicant has accomplished with the opportunities available to them and what their proposed science requires. Structured review of research questions, methodological rigor, feasibility, and training plans is more defensible than an undefined judgment of fit. Institutions should be cautious about using familiarity with a small set of prestigious labs as a substitute for evaluating the work itself. The proposed change is to make scientific criteria explicit, not to reduce scientific expectations. [R6, R8]</w:t>
      </w:r>
    </w:p>
    <w:p>
      <w:r>
        <w:t>After hiring, startup terms should be documented and usable. Promised equipment is not effective support if installation is delayed indefinitely; allocated staff lines are not equivalent to successful recruitment; nominal mentoring is not the same as practical help with grants and lab operations. Departments can track implementation and offer support without waiting for a new PI to experience a crisis. Shared facilities are particularly important where a research question requires costly techniques that no new laboratory can reasonably establish alone.</w:t>
      </w:r>
    </w:p>
    <w:p>
      <w:r>
        <w:t>Sustained leadership also requires fair workload. Latino faculty may be asked to mentor students, advise diversity initiatives, translate community materials, or represent the institution publicly. Those activities can be valuable, but their distribution and recognition should be examined. This report does not assign a measured California Latino service burden without data. It recommends transparent workload records and appropriate credit so that efforts to widen participation do not undermine the research time of the very investigators institutions seek to retain.</w:t>
      </w:r>
    </w:p>
    <w:p>
      <w:r>
        <w:br w:type="page"/>
      </w:r>
    </w:p>
    <w:p>
      <w:pPr>
        <w:pStyle w:val="Heading1"/>
      </w:pPr>
      <w:r>
        <w:t>15. Scientific recognition and the role of visible researchers</w:t>
      </w:r>
    </w:p>
    <w:p>
      <w:r>
        <w:t>A researcher directory serves a practical purpose beyond counting people. It allows students and colleagues to discover scientific programs, find potential collaborators, and see that Latino investigators work across the field rather than in one narrow specialty. In California, the verified entries encompass song-related circuits, insect brains, sensory imaging, neural development, human genetics, and clinical neuroscience. Presenting these scientists through their research gives students a concrete scientific connection instead of a symbolic list of names. [R3; Directory]</w:t>
      </w:r>
    </w:p>
    <w:p>
      <w:r>
        <w:t>Visibility alone does not remove material barriers. A student can recognize a scientist with a similar background while still being unable to accept an unpaid position or relocate for training. Mentoring and research experience are valuable because they provide opportunities to participate, not merely examples to admire. The longitudinal evidence places scientific identity alongside practical experience and quality guidance. It supports integrating visibility into a broader pathway of training and support. [R5]</w:t>
      </w:r>
    </w:p>
    <w:p>
      <w:r>
        <w:t>Hofstra and colleagues examined approximately 1.2 million U.S. doctoral recipients from 1977–2015, using computational measures of novelty and subsequent scholarly and career outcomes. Their 2020 study reports a diversity–innovation paradox: underrepresented groups produced higher rates of novelty, yet their contributions received less uptake and were less likely to translate into successful scientific careers. These measures do not encompass every form of scientific quality, and the study is not a California Latino neuroscience experiment. Its relevance is that recognition is part of the career process rather than a neutral afterthought. [R8]</w:t>
      </w:r>
    </w:p>
    <w:p>
      <w:r>
        <w:t>Departments can make recognition more equitable through transparent authorship discussions, inclusive seminar invitations, fair nomination procedures, and opportunities for trainees to present their own work. A student who contributed substantially should not be invisible because they lacked confidence to request credit. Likewise, faculty should be evaluated for the quality and significance of their science without assuming that broad-access mentoring or community research is less intellectually demanding than familiar laboratory work. These are proposed practices rather than demonstrated local effects. [R6, R8]</w:t>
      </w:r>
    </w:p>
    <w:p>
      <w:r>
        <w:t>The directory is best used as a living research resource. It should retain links to labs and papers, identify model systems, and distinguish verified background from unresolved leads. Researchers should have a way to correct their descriptions or request removal from an identity-based directory. Such procedures respect personal agency while improving accuracy. A directory intended to widen access should not make scientists responsible for serving every student who finds their name, or imply that demographic similarity replaces scientific and mentoring fit.</w:t>
      </w:r>
    </w:p>
    <w:p>
      <w:r>
        <w:br w:type="page"/>
      </w:r>
    </w:p>
    <w:p>
      <w:pPr>
        <w:pStyle w:val="Heading1"/>
      </w:pPr>
      <w:r>
        <w:t>16. Research leadership and participation in human studies</w:t>
      </w:r>
    </w:p>
    <w:p>
      <w:r>
        <w:t>Access to neuroscience has two distinct meanings: access to becoming a researcher and access to participating in or benefiting from research. They can interact, but they are not interchangeable. A laboratory that recruits Latino participants does not automatically have Latino leadership. Conversely, a Latino PI may study a molecular mechanism or an animal behavior with no ethnicity-specific participant population. The directory therefore does not classify investigators from the communities they study. [Directory]</w:t>
      </w:r>
    </w:p>
    <w:p>
      <w:r>
        <w:t>California’s cognitive-aging and clinical neuroscience labs illustrate why participation matters. Mirella Díaz-Santos’s ELHA program addresses prevention, detection, and management of Alzheimer disease and related dementias in Latine/Hispanic communities. Adys Mendizabal’s lab investigates access to Huntington disease care and participation in clinical research. Those research agendas examine how scientific evidence and healthcare systems reach people, while also providing training environments for human neuroscience. The directory’s background evidence for these investigators is separate from the description of their research populations. [Directory]</w:t>
      </w:r>
    </w:p>
    <w:p>
      <w:r>
        <w:t>Community-engaged studies can require expertise that conventional productivity measures overlook: developing relationships, explaining consent clearly, providing linguistically appropriate materials, coordinating visits around work and care responsibilities, and returning useful information. These tasks should be resourced and recognized as research work. They should not be assigned automatically to a Latino trainee merely because of assumed language ability or cultural familiarity. The same principle applies to translation and interpretation: competence, responsibility, and compensation should be explicit.</w:t>
      </w:r>
    </w:p>
    <w:p>
      <w:r>
        <w:t>Neuroethology and basic neuroscience also benefit from public engagement, but ethnic identity does not determine the questions a scientist should pursue. The verified California roster includes animal behavior and cellular research alongside clinical work. This breadth should be preserved when institutions develop participation initiatives. A student interested in auditory coding, bee behavior, or neural interfaces should be supported in that interest rather than steered toward a community-health topic because of their background. [Directory]</w:t>
      </w:r>
    </w:p>
    <w:p>
      <w:r>
        <w:t>The connection between leadership and public trust should be studied rather than assumed. Researchers with relevant lived experiences may identify overlooked questions or improve communication, but no demographic category guarantees trust or methodological quality. Institutions can evaluate engagement by recruitment accessibility, participant retention, consent understanding, and the usefulness of returned results. Those measures address participation in research while the workforce measures elsewhere in this report address entry into the scientific profession. Keeping both visible prevents one form of progress from being mistaken for the other.</w:t>
      </w:r>
    </w:p>
    <w:p>
      <w:r>
        <w:br w:type="page"/>
      </w:r>
    </w:p>
    <w:p>
      <w:pPr>
        <w:pStyle w:val="Heading1"/>
      </w:pPr>
      <w:r>
        <w:t>17. Training programs: useful evidence and realistic expectations</w:t>
      </w:r>
    </w:p>
    <w:p>
      <w:r>
        <w:t>Organized training programs can reduce reliance on chance encounters by combining research placements, mentoring, preparation, and professional networks. NeuroID provides a neuroscience-specific account focused on Hispanic undergraduates. Its 2024 description emphasizes a comprehensive training program, a sustained mentorship network, and connections between Puerto Rico’s undergraduate institutions and mainland research laboratories. The program’s reported success establishes a useful model to examine. It does not supply a randomized comparison or a California-specific effect size. [R12]</w:t>
      </w:r>
    </w:p>
    <w:p>
      <w:r>
        <w:t>The longitudinal mentoring study supplies a complementary form of evidence. Its substantial Latino participation and repeated measurements allow analysis of how research experiences and quality mentorship relate to scientific identity and later pathways. Because students were not randomly assigned to identical opportunities, the findings should guide program design while allowing for selection and other influences. The appropriate institutional response is to provide support and evaluate it, not to promise a fixed increase in PI representation from a particular mentoring format. [R5]</w:t>
      </w:r>
    </w:p>
    <w:p>
      <w:r>
        <w:t>Lopatto’s undergraduate research study found self-reported gains in learning, independence, motivation, and science-career planning, including benefits among underrepresented participants. Such surveys are useful for understanding student experience but do not by themselves establish that a summer placement causes a long-term scientific career. Short-term satisfaction and confidence should therefore be paired with measures of skills, subsequent opportunities, completion, and informed career decisions. A student may benefit from research even if they decide that a different profession suits them better. [R14]</w:t>
      </w:r>
    </w:p>
    <w:p>
      <w:r>
        <w:t>Professional resources can supply additional navigation support. The Society for Neuroscience’s Neuroscience Scholars Program describes graduate and postdoctoral training and community support. Científico Latino publishes application guidance, opportunity databases, and other resources for students navigating STEM pathways. Current eligibility and openings should be checked on the organizations’ own pages; the existence of a public resource is not proof that it is accepting applications or available to every student at the time they need it. [R16, R17]</w:t>
      </w:r>
    </w:p>
    <w:p>
      <w:r>
        <w:t>A California program should combine those external resources with local accountability. It should provide paid research, clear mentoring expectations, preparation for the next stage, and connections that continue after the initial placement. Evaluation should include students who decline, withdraw, or are not selected, where feasible and ethical, because studying only successful participants can conceal barriers at entry. Institutions should retain effective elements, change ineffective ones, and report outcomes in enough detail to distinguish opportunity from publicity.</w:t>
      </w:r>
    </w:p>
    <w:p>
      <w:r>
        <w:br w:type="page"/>
      </w:r>
    </w:p>
    <w:p>
      <w:pPr>
        <w:pStyle w:val="Heading1"/>
      </w:pPr>
      <w:r>
        <w:t>18. Measuring access without misclassifying people</w:t>
      </w:r>
    </w:p>
    <w:p>
      <w:r>
        <w:t>A statewide access assessment should begin with an agreed institutional frame. It would specify which universities, research institutes, medical centers, and relevant departments are included. It would define active lab leadership in terms appropriate to animal, cellular, computational, and human research. Joint appointments should be deduplicated. Faculty without independent research groups should not be counted as PIs merely because their department includes neuroscience, while researchers in engineering or ecology should not be excluded if their actual work concerns nervous-system function. [Directory]</w:t>
      </w:r>
    </w:p>
    <w:p>
      <w:r>
        <w:t>Demographic information should be voluntary and allow researchers to describe themselves. Hispanic ethnicity, Latin American national origin, race, citizenship, and language are different variables. They should not be combined into one inferred identity. Spain-origin and Brazil-origin researchers illustrate why a broad Hispanic/Latino request requires explicit terminology. Missing responses should remain missing rather than being replaced by a classifier based on surnames, photographs, or birthplace guesses. The current public-source directory uses labeled evidence precisely because it is not a substitute for a consent-based survey. [R3; Directory]</w:t>
      </w:r>
    </w:p>
    <w:p>
      <w:r>
        <w:t>Access should be measured at multiple stages. At the undergraduate level, institutions can track requests for research, offers, paid versus unpaid placements, completion, and the quality of training. Graduate programs can assess applications, interviews, offers, enrollment, funding, completion, and subsequent placements. Postdoctoral and faculty measures can include independent-position applications, hiring, startup implementation, grant submissions, awards, retention, and promotion. Keeping the stages separate makes it possible to identify whether a disparity arises before selection, during training, or after independence. [R6, R10]</w:t>
      </w:r>
    </w:p>
    <w:p>
      <w:r>
        <w:t>Privacy matters because small subfields can make individuals identifiable even in a nominally aggregated table. A campus may have only a few investigators in a particular demographic and scientific category. Reports should use appropriate suppression, broader aggregation, or restricted-access analysis where necessary. Institutions should explain the purpose of collection, who can see the data, and whether an individual can decline participation. No public directory should become an informal personnel-monitoring tool.</w:t>
      </w:r>
    </w:p>
    <w:p>
      <w:r>
        <w:t>Evaluation can begin with a baseline and repeated measurement. A policy change should specify its expected mechanism and outcome before judging success. For example, paying research assistants may be expected to improve acceptance and completion among students with financial need; mentoring reform may be expected to improve feedback quality and access to scientific tasks. Those are distinct hypotheses requiring distinct measures. A growing public roster is useful for visibility but cannot stand in for these institutional tests of whether access is improving.</w:t>
      </w:r>
    </w:p>
    <w:p>
      <w:r>
        <w:br w:type="page"/>
      </w:r>
    </w:p>
    <w:p>
      <w:pPr>
        <w:pStyle w:val="Heading1"/>
      </w:pPr>
      <w:r>
        <w:t>19. A practical California action agenda</w:t>
      </w:r>
    </w:p>
    <w:p>
      <w:r>
        <w:t>The first priority is to make research entry visible and financially feasible. Departments should publish available student positions, supervision arrangements, expected hours, and compensation. They should examine whether credit-based and volunteer arrangements exclude students who need wages. Institutions can establish paid introductory research opportunities with clear training goals, then support progression into more independent work. This recommendation follows the institutional-barriers framework; its local effects should be measured rather than assumed. [R6, R7]</w:t>
      </w:r>
    </w:p>
    <w:p>
      <w:r>
        <w:t>The second priority is to connect institutions. Community colleges and CSU campuses should not need to depend on a few personal contacts to obtain research placements for their students. Formal partnerships with UC, private universities, and research institutes can share preparation, mentoring, and access to specialized methods. Regional design is important: a student should not have to relocate to the Bay Area or San Diego for every useful neuroscience experience. The directory can help identify potential scientific partners, but no listed PI has been contacted or committed to participate. [R12; Directory]</w:t>
      </w:r>
    </w:p>
    <w:p>
      <w:r>
        <w:t>The third priority is to improve the quality of everyday training. Mentors should provide regular feedback, scientific interpretation, appropriate credit, and information about the next career stage. Departments should train mentors, recognize their work, and provide alternative advice when a supervisory relationship fails. Course design should use evidence-based learning practices while retaining challenging content. The mentoring study and active-learning meta-analysis support these directions, while their populations and methods limit the precision of any California neuroscience prediction. [R5, R13]</w:t>
      </w:r>
    </w:p>
    <w:p>
      <w:r>
        <w:t>The fourth priority is to make transitions accountable. Admissions criteria should be evaluated against graduate outcomes. Postdoctoral support should address independence and career navigation. Hiring should use explicit scientific criteria, and startup promises should be tracked through implementation. Internal funding decisions should be transparent. These recommendations address points where access can narrow after students have already demonstrated interest and ability. They do not require institutions to wait for a complete statewide census before improving their own procedures. [R6, R9, R10]</w:t>
      </w:r>
    </w:p>
    <w:p>
      <w:r>
        <w:t>The final priority is to measure results without overburdening individuals. Campuses should collect voluntary demographic data, protect small groups, and distinguish participation from meaningful opportunity. A regional consortium could produce consistent summaries of paid research access, training completion, independent hiring, and retention. Scientists listed in the directory should be able to correct descriptions or decline inclusion. The proposed agenda distributes responsibility across institutions rather than asking Latino faculty to solve every access problem through additional unpaid mentoring and representation work.</w:t>
      </w:r>
    </w:p>
    <w:p>
      <w:r>
        <w:br w:type="page"/>
      </w:r>
    </w:p>
    <w:p>
      <w:pPr>
        <w:pStyle w:val="Heading1"/>
      </w:pPr>
      <w:r>
        <w:t>20. Conclusions and how to use the companion directory</w:t>
      </w:r>
    </w:p>
    <w:p>
      <w:r>
        <w:t>The California evidence supports concern about unequal access while also showing a real and scientifically diverse Latino research community. The most direct local study reviewed here documents how class and racialization shape experiences among Latina biology students at a UC campus. National longitudinal evidence connects mentoring and research experience to scientific integration, and national faculty research demonstrates strong socioeconomic concentration. These findings support changing institutional practices rather than interpreting underrepresentation as a lack of Latino scientific interest or ability. [R4–R7]</w:t>
      </w:r>
    </w:p>
    <w:p>
      <w:r>
        <w:t>At the same time, the sources do not establish a complete statewide count of Latino neuroscience PIs, a California-specific probability of becoming a PI, or a single causal explanation for every transition. The national doctorate data measure a particular completion cohort and citizenship category. Funding studies measure particular agencies and periods and must retain their group-specific meanings. A credible report should preserve those distinctions because they determine what an institution can conclude and what further data it needs. [R2, R10, R11]</w:t>
      </w:r>
    </w:p>
    <w:p>
      <w:r>
        <w:t>The directory is designed for action: finding scientifically relevant labs, identifying potential mentors, and improving the visibility of researchers who might otherwise be missed. It separates core neuroscience leaders, related research fields, explicitly documented Spain-origin researchers, and unresolved leads. Each confirmed entry includes research interests, location, lab or profile links, and the evidence supporting inclusion. It does not assert that a lab is recruiting, that a PI will respond, or that demographic similarity guarantees a suitable training relationship. [Directory]</w:t>
      </w:r>
    </w:p>
    <w:p>
      <w:r>
        <w:t>For the user’s interests in neuroethology and auditory-related behavior, the closest verified California match is Walter Gonzalez’s song and motor-behavior research. Santiago Ramírez provides a strong comparative insect-neuroethology route, and Markita Landry offers tools for measuring neurochemistry during behavior. Other verified labs expand the search into neural development, regeneration, clinical neuroscience, and stem-cell models. Scientifically relevant auditory and neural-interface leads with unresolved background evidence remain labeled as leads, rather than being silently classified from their names. [Directory]</w:t>
      </w:r>
    </w:p>
    <w:p>
      <w:r>
        <w:t>The best next institutional step is to replace broad aspirations with observable commitments: paid research, explicit mentoring, fair recognition, validated selection, practical support for transitions, and voluntary data on outcomes. The best next individual step is to compare research questions, methods, model systems, training practices, and current opportunities before approaching a lab. California has the scientific infrastructure to offer many routes into neuroscience. Whether those routes are accessible is a question institutions can measure and improve, rather than a burden that should fall entirely on students navigating them alone.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Latino access to neuroscience research in California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8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43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B43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