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100"/>
        <w:jc w:val="center"/>
      </w:pPr>
      <w:r>
        <w:drawing>
          <wp:inline>
            <wp:extent cx="5943600" cy="1971675"/>
            <wp:docPr id="1" name="Picture 1" descr="Close view of a participant wearing an EEG cap while a researcher adjusts equipment at the University of Szeged Institute of Psychology laboratory. Source photograph by Csaba Segesvári; cropped in the document for the banner."/>
            <wp:cNvGraphicFramePr>
              <a:graphicFrameLocks noChangeAspect="1"/>
            </wp:cNvGraphicFramePr>
            <a:graphic>
              <a:graphicData uri="http://schemas.openxmlformats.org/drawingml/2006/picture">
                <pic:pic>
                  <pic:nvPicPr>
                    <pic:cNvPr id="0" name="psychology-research-lab.jpg"/>
                    <pic:cNvPicPr/>
                  </pic:nvPicPr>
                  <pic:blipFill>
                    <a:blip r:embed="rId14"/>
                    <a:srcRect r="35000" t="38000" b="29535"/>
                    <a:stretch>
                      <a:fillRect/>
                    </a:stretch>
                  </pic:blipFill>
                  <pic:spPr>
                    <a:xfrm>
                      <a:off x="0" y="0"/>
                      <a:ext cx="5943600" cy="1971675"/>
                    </a:xfrm>
                    <a:prstGeom prst="rect"/>
                  </pic:spPr>
                </pic:pic>
              </a:graphicData>
            </a:graphic>
          </wp:inline>
        </w:drawing>
      </w:r>
    </w:p>
    <w:p>
      <w:pPr>
        <w:spacing w:after="140"/>
      </w:pPr>
      <w:r>
        <w:rPr>
          <w:b w:val="0"/>
          <w:sz w:val="15"/>
        </w:rPr>
        <w:t>Photo: Csaba Segesvári, University of Szeged psychology EEG laboratory, via Wikimedia Commons. CC BY-SA 3.0; banner crop. Full credit at the end.</w:t>
      </w:r>
    </w:p>
    <w:p>
      <w:pPr>
        <w:jc w:val="center"/>
      </w:pPr>
      <w:r>
        <w:rPr>
          <w:b/>
          <w:sz w:val="46"/>
        </w:rPr>
        <w:t>PSYC100 L: Introduction to Psychology</w:t>
      </w:r>
    </w:p>
    <w:p>
      <w:pPr>
        <w:jc w:val="center"/>
      </w:pPr>
      <w:r>
        <w:rPr>
          <w:b w:val="0"/>
          <w:sz w:val="24"/>
        </w:rPr>
        <w:t>Fall 2027</w:t>
      </w:r>
    </w:p>
    <w:p>
      <w:pPr>
        <w:jc w:val="center"/>
      </w:pPr>
      <w:r>
        <w:rPr>
          <w:b w:val="0"/>
          <w:sz w:val="16"/>
        </w:rPr>
        <w:t>COURSE DESIGN DRAFT • Administrative fields are left for the instructor.</w:t>
      </w:r>
    </w:p>
    <w:p>
      <w:pPr>
        <w:pStyle w:val="Heading2"/>
      </w:pPr>
      <w:r>
        <w:t>Instructor</w:t>
      </w:r>
    </w:p>
    <w:p>
      <w:pPr/>
      <w:r>
        <w:rPr>
          <w:b/>
        </w:rPr>
        <w:t>Jordan Lopez, M.D., Ph.D.</w:t>
      </w:r>
    </w:p>
    <w:p>
      <w:pPr/>
      <w:r>
        <w:rPr>
          <w:b w:val="0"/>
        </w:rPr>
        <w:t>Professor of Psychology, Biological Sciences, Neurobiology &amp; Biomedical Engineering</w:t>
      </w:r>
    </w:p>
    <w:p>
      <w:pPr/>
      <w:r>
        <w:rPr>
          <w:b w:val="0"/>
        </w:rPr>
        <w:t>jlopez11@usc.edu</w:t>
      </w:r>
    </w:p>
    <w:p>
      <w:pPr/>
      <w:r>
        <w:rPr>
          <w:b w:val="0"/>
        </w:rPr>
        <w:t>Office: ____________________    Office Hours: ____________________</w:t>
      </w:r>
    </w:p>
    <w:p>
      <w:pPr>
        <w:pStyle w:val="Heading2"/>
      </w:pPr>
      <w:r>
        <w:t>Course Times &amp; Locations</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800"/>
        <w:gridCol w:w="5904"/>
        <w:gridCol w:w="2376"/>
      </w:tblGrid>
      <w:tr>
        <w:trPr>
          <w:cantSplit/>
          <w:tblHeader/>
        </w:trPr>
        <w:tc>
          <w:tcPr>
            <w:tcW w:type="dxa" w:w="1800"/>
            <w:vAlign w:val="center"/>
            <w:shd w:fill="E8E8E8"/>
            <w:tcMar>
              <w:top w:w="65" w:type="dxa"/>
              <w:bottom w:w="65" w:type="dxa"/>
              <w:left w:w="65" w:type="dxa"/>
              <w:right w:w="65" w:type="dxa"/>
            </w:tcMar>
          </w:tcPr>
          <w:p>
            <w:pPr>
              <w:spacing w:after="40" w:before="40" w:line="240" w:lineRule="auto"/>
            </w:pPr>
            <w:r>
              <w:rPr>
                <w:rFonts w:ascii="Arial" w:hAnsi="Arial"/>
                <w:b/>
                <w:sz w:val="19"/>
              </w:rPr>
              <w:t>Component</w:t>
            </w:r>
          </w:p>
        </w:tc>
        <w:tc>
          <w:tcPr>
            <w:tcW w:type="dxa" w:w="5904"/>
            <w:vAlign w:val="center"/>
            <w:shd w:fill="E8E8E8"/>
            <w:tcMar>
              <w:top w:w="65" w:type="dxa"/>
              <w:bottom w:w="65" w:type="dxa"/>
              <w:left w:w="65" w:type="dxa"/>
              <w:right w:w="65" w:type="dxa"/>
            </w:tcMar>
          </w:tcPr>
          <w:p>
            <w:pPr>
              <w:spacing w:after="40" w:before="40" w:line="240" w:lineRule="auto"/>
            </w:pPr>
            <w:r>
              <w:rPr>
                <w:rFonts w:ascii="Arial" w:hAnsi="Arial"/>
                <w:b/>
                <w:sz w:val="19"/>
              </w:rPr>
              <w:t>Days &amp; Times</w:t>
            </w:r>
          </w:p>
        </w:tc>
        <w:tc>
          <w:tcPr>
            <w:tcW w:type="dxa" w:w="2376"/>
            <w:vAlign w:val="center"/>
            <w:shd w:fill="E8E8E8"/>
            <w:tcMar>
              <w:top w:w="65" w:type="dxa"/>
              <w:bottom w:w="65" w:type="dxa"/>
              <w:left w:w="65" w:type="dxa"/>
              <w:right w:w="65" w:type="dxa"/>
            </w:tcMar>
          </w:tcPr>
          <w:p>
            <w:pPr>
              <w:spacing w:after="40" w:before="40" w:line="240" w:lineRule="auto"/>
            </w:pPr>
            <w:r>
              <w:rPr>
                <w:rFonts w:ascii="Arial" w:hAnsi="Arial"/>
                <w:b/>
                <w:sz w:val="19"/>
              </w:rPr>
              <w:t>Location</w:t>
            </w:r>
          </w:p>
        </w:tc>
      </w:tr>
      <w:tr>
        <w:trPr>
          <w:cantSplit/>
        </w:trPr>
        <w:tc>
          <w:tcPr>
            <w:tcW w:type="dxa" w:w="1800"/>
            <w:vAlign w:val="center"/>
            <w:tcMar>
              <w:top w:w="65" w:type="dxa"/>
              <w:bottom w:w="65" w:type="dxa"/>
              <w:left w:w="65" w:type="dxa"/>
              <w:right w:w="65" w:type="dxa"/>
            </w:tcMar>
          </w:tcPr>
          <w:p>
            <w:pPr>
              <w:spacing w:after="40" w:before="40" w:line="240" w:lineRule="auto"/>
            </w:pPr>
            <w:r>
              <w:rPr>
                <w:rFonts w:ascii="Arial" w:hAnsi="Arial"/>
                <w:b w:val="0"/>
                <w:sz w:val="19"/>
              </w:rPr>
              <w:t>Lecture</w:t>
            </w:r>
          </w:p>
        </w:tc>
        <w:tc>
          <w:tcPr>
            <w:tcW w:type="dxa" w:w="5904"/>
            <w:vAlign w:val="center"/>
            <w:tcMar>
              <w:top w:w="65" w:type="dxa"/>
              <w:bottom w:w="65" w:type="dxa"/>
              <w:left w:w="65" w:type="dxa"/>
              <w:right w:w="65" w:type="dxa"/>
            </w:tcMar>
          </w:tcPr>
          <w:p>
            <w:pPr>
              <w:spacing w:after="40" w:before="40" w:line="240" w:lineRule="auto"/>
            </w:pPr>
            <w:r>
              <w:rPr>
                <w:rFonts w:ascii="Arial" w:hAnsi="Arial"/>
                <w:b w:val="0"/>
                <w:sz w:val="19"/>
              </w:rPr>
              <w:t>Monday / Wednesday / Friday, 1:30–2:50 p.m.</w:t>
            </w:r>
          </w:p>
        </w:tc>
        <w:tc>
          <w:tcPr>
            <w:tcW w:type="dxa" w:w="2376"/>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r>
      <w:tr>
        <w:trPr>
          <w:cantSplit/>
        </w:trPr>
        <w:tc>
          <w:tcPr>
            <w:tcW w:type="dxa" w:w="1800"/>
            <w:vAlign w:val="center"/>
            <w:tcMar>
              <w:top w:w="65" w:type="dxa"/>
              <w:bottom w:w="65" w:type="dxa"/>
              <w:left w:w="65" w:type="dxa"/>
              <w:right w:w="65" w:type="dxa"/>
            </w:tcMar>
          </w:tcPr>
          <w:p>
            <w:pPr>
              <w:spacing w:after="40" w:before="40" w:line="240" w:lineRule="auto"/>
            </w:pPr>
            <w:r>
              <w:rPr>
                <w:rFonts w:ascii="Arial" w:hAnsi="Arial"/>
                <w:b w:val="0"/>
                <w:sz w:val="19"/>
              </w:rPr>
              <w:t>Laboratory</w:t>
            </w:r>
          </w:p>
        </w:tc>
        <w:tc>
          <w:tcPr>
            <w:tcW w:type="dxa" w:w="5904"/>
            <w:vAlign w:val="center"/>
            <w:tcMar>
              <w:top w:w="65" w:type="dxa"/>
              <w:bottom w:w="65" w:type="dxa"/>
              <w:left w:w="65" w:type="dxa"/>
              <w:right w:w="65" w:type="dxa"/>
            </w:tcMar>
          </w:tcPr>
          <w:p>
            <w:pPr>
              <w:spacing w:after="40" w:before="40" w:line="240" w:lineRule="auto"/>
            </w:pPr>
            <w:r>
              <w:rPr>
                <w:rFonts w:ascii="Arial" w:hAnsi="Arial"/>
                <w:b w:val="0"/>
                <w:sz w:val="19"/>
              </w:rPr>
              <w:t>Required lab section; begins Week 1, August 23–27. Section day/time: ________________</w:t>
            </w:r>
          </w:p>
        </w:tc>
        <w:tc>
          <w:tcPr>
            <w:tcW w:type="dxa" w:w="2376"/>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r>
      <w:tr>
        <w:trPr>
          <w:cantSplit/>
        </w:trPr>
        <w:tc>
          <w:tcPr>
            <w:tcW w:type="dxa" w:w="1800"/>
            <w:vAlign w:val="center"/>
            <w:tcMar>
              <w:top w:w="65" w:type="dxa"/>
              <w:bottom w:w="65" w:type="dxa"/>
              <w:left w:w="65" w:type="dxa"/>
              <w:right w:w="65" w:type="dxa"/>
            </w:tcMar>
          </w:tcPr>
          <w:p>
            <w:pPr>
              <w:spacing w:after="40" w:before="40" w:line="240" w:lineRule="auto"/>
            </w:pPr>
            <w:r>
              <w:rPr>
                <w:rFonts w:ascii="Arial" w:hAnsi="Arial"/>
                <w:b w:val="0"/>
                <w:sz w:val="19"/>
              </w:rPr>
              <w:t>Separate exam session</w:t>
            </w:r>
          </w:p>
        </w:tc>
        <w:tc>
          <w:tcPr>
            <w:tcW w:type="dxa" w:w="5904"/>
            <w:vAlign w:val="center"/>
            <w:tcMar>
              <w:top w:w="65" w:type="dxa"/>
              <w:bottom w:w="65" w:type="dxa"/>
              <w:left w:w="65" w:type="dxa"/>
              <w:right w:w="65" w:type="dxa"/>
            </w:tcMar>
          </w:tcPr>
          <w:p>
            <w:pPr>
              <w:spacing w:after="40" w:before="40" w:line="240" w:lineRule="auto"/>
            </w:pPr>
            <w:r>
              <w:rPr>
                <w:rFonts w:ascii="Arial" w:hAnsi="Arial"/>
                <w:b w:val="0"/>
                <w:sz w:val="19"/>
              </w:rPr>
              <w:t>Exam time: ________________</w:t>
              <w:br/>
              <w:t>Dates: Sep 20, Oct 18, Nov 8; Exam 4 in Dec 8–15 window.</w:t>
            </w:r>
          </w:p>
        </w:tc>
        <w:tc>
          <w:tcPr>
            <w:tcW w:type="dxa" w:w="2376"/>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r>
    </w:tbl>
    <w:p>
      <w:pPr/>
      <w:r>
        <w:rPr>
          <w:b w:val="0"/>
          <w:sz w:val="18"/>
        </w:rPr>
        <w:t>Units: ______    Section number: ______    Course site: ____________________</w:t>
      </w:r>
    </w:p>
    <w:p>
      <w:pPr/>
      <w:r>
        <w:rPr>
          <w:b w:val="0"/>
          <w:sz w:val="17"/>
        </w:rPr>
        <w:t>All times are Pacific time. Exam dates are proposed pending room and departmental confirmation; the final exam appointment must follow the assigned university slot.</w:t>
      </w:r>
    </w:p>
    <w:p>
      <w:r>
        <w:br w:type="page"/>
      </w:r>
    </w:p>
    <w:p>
      <w:pPr>
        <w:pStyle w:val="Heading2"/>
      </w:pPr>
      <w:r>
        <w:t>Course Description</w:t>
      </w:r>
    </w:p>
    <w:p>
      <w:pPr/>
      <w:r>
        <w:rPr>
          <w:b w:val="0"/>
        </w:rPr>
        <w:t>Psychology examines how people perceive, learn, remember, think, develop, interact, and experience mental health. PSYC100 L introduces these questions through experiments and the evidence used to answer them. We begin with perception and visual illusions on the first day, then connect biological mechanisms to learning, memory, motivation, development, personality, social behavior, psychological disorders, and treatment. No previous neuroscience or psychology background is assumed.</w:t>
      </w:r>
    </w:p>
    <w:p>
      <w:pPr/>
      <w:r>
        <w:rPr>
          <w:b w:val="0"/>
        </w:rPr>
        <w:t>Every lecture introduces a distinct topic. Approximately 40% of content teaches core psychological concepts and 60% teaches actual studies, experiments, and findings. At least 40% of the research portion uses studies published from 2000 onward, alongside foundational research. Concepts and experiments are interwoven rather than taught as separate blocks. Students learn what researchers manipulated or measured, what happened, and what the evidence permits us to conclude.</w:t>
      </w:r>
    </w:p>
    <w:p>
      <w:pPr/>
      <w:r>
        <w:rPr>
          <w:b w:val="0"/>
        </w:rPr>
        <w:t>This is a laboratory course. Beginning in the first week, students conduct low-risk behavioral tasks, analyze data, and explain evidence. Labs are working sessions with experiments and analysis rather than discussion sections. The course has 41 lectures and four exams in a separate exam session. There is no syllabus-only lecture day and no field experience.</w:t>
      </w:r>
    </w:p>
    <w:p>
      <w:pPr>
        <w:pStyle w:val="Heading2"/>
      </w:pPr>
      <w:r>
        <w:t>Prerequisites</w:t>
      </w:r>
    </w:p>
    <w:p>
      <w:pPr/>
      <w:r>
        <w:rPr>
          <w:b w:val="0"/>
        </w:rPr>
        <w:t>No prior psychology, neuroscience, programming, or advanced statistics knowledge is assumed in this course design. Basic quantitative reasoning and use of a spreadsheet will be taught and practiced. Official enrollment prerequisites, units, and any departmental requirements must be confirmed before this syllabus is issued.</w:t>
      </w:r>
    </w:p>
    <w:p>
      <w:pPr>
        <w:pStyle w:val="Heading2"/>
      </w:pPr>
      <w:r>
        <w:t>Course Materials</w:t>
      </w:r>
    </w:p>
    <w:p>
      <w:pPr/>
      <w:r>
        <w:rPr>
          <w:b w:val="0"/>
        </w:rPr>
        <w:t>Course reference: Myers, D. G., DeWall, C. N., &amp; Gruber, J. Psychology (14th ed.). Worth / Macmillan Learning. The book provides a conceptual backbone; specific chapter readings and paper lists are not assigned in this draft. Lecture material defines exam coverage. Do not purchase a bundled access code unless the instructor later announces a specific requirement.</w:t>
      </w:r>
    </w:p>
    <w:p>
      <w:pPr/>
      <w:r>
        <w:rPr>
          <w:b w:val="0"/>
        </w:rPr>
        <w:t>Bring a laptop to lab that can run a current browser and a spreadsheet or free graphical analysis tool such as jamovi. No paid laboratory platform, MATLAB license, or coding experience is required. Instructor-provided task links, deidentified datasets, templates, and equivalent-access arrangements will be supplied before use. Contact the instructor or TA if equipment access is a barrier.</w:t>
      </w:r>
    </w:p>
    <w:p>
      <w:pPr>
        <w:pStyle w:val="Heading2"/>
      </w:pPr>
      <w:r>
        <w:t>Course Objectives</w:t>
      </w:r>
    </w:p>
    <w:p>
      <w:pPr/>
      <w:r>
        <w:rPr>
          <w:b w:val="0"/>
        </w:rPr>
        <w:t>• Explain fundamental concepts across biological, cognitive, developmental, social, personality, and clinical psychology.</w:t>
      </w:r>
    </w:p>
    <w:p>
      <w:pPr/>
      <w:r>
        <w:rPr>
          <w:b w:val="0"/>
        </w:rPr>
        <w:t>• Distinguish an experiment from a correlation and identify variables, controls, confounds, and ethical issues.</w:t>
      </w:r>
    </w:p>
    <w:p>
      <w:pPr/>
      <w:r>
        <w:rPr>
          <w:b w:val="0"/>
        </w:rPr>
        <w:t>• Interpret behavioral results and figures, including uncertainty and limits of generalization.</w:t>
      </w:r>
    </w:p>
    <w:p>
      <w:pPr/>
      <w:r>
        <w:rPr>
          <w:b w:val="0"/>
        </w:rPr>
        <w:t>• Connect foundational findings with contemporary research without treating every classic claim as settled.</w:t>
      </w:r>
    </w:p>
    <w:p>
      <w:pPr/>
      <w:r>
        <w:rPr>
          <w:b w:val="0"/>
        </w:rPr>
        <w:t>• Conduct a structured psychological task, analyze authentic data, and communicate a defensible conclusion.</w:t>
      </w:r>
    </w:p>
    <w:p>
      <w:r>
        <w:br w:type="page"/>
      </w:r>
    </w:p>
    <w:p>
      <w:pPr>
        <w:pStyle w:val="Heading2"/>
      </w:pPr>
      <w:r>
        <w:t>Teaching Assistants</w:t>
      </w:r>
    </w:p>
    <w:p>
      <w:pPr/>
      <w:r>
        <w:rPr>
          <w:b w:val="0"/>
        </w:rPr>
        <w:t>Questions about lab procedures, reports, data analysis, and grading should go to your TA first. Contact the instructor for unresolved questions, accommodations, or confidential concerns. Staff details will be completed before the semester.</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088"/>
        <w:gridCol w:w="2232"/>
        <w:gridCol w:w="2448"/>
        <w:gridCol w:w="3312"/>
      </w:tblGrid>
      <w:tr>
        <w:trPr>
          <w:cantSplit/>
          <w:tblHeader/>
        </w:trPr>
        <w:tc>
          <w:tcPr>
            <w:tcW w:type="dxa" w:w="2088"/>
            <w:vAlign w:val="center"/>
            <w:shd w:fill="E8E8E8"/>
            <w:tcMar>
              <w:top w:w="65" w:type="dxa"/>
              <w:bottom w:w="65" w:type="dxa"/>
              <w:left w:w="65" w:type="dxa"/>
              <w:right w:w="65" w:type="dxa"/>
            </w:tcMar>
          </w:tcPr>
          <w:p>
            <w:pPr>
              <w:spacing w:after="40" w:before="40" w:line="240" w:lineRule="auto"/>
            </w:pPr>
            <w:r>
              <w:rPr>
                <w:rFonts w:ascii="Arial" w:hAnsi="Arial"/>
                <w:b/>
                <w:sz w:val="19"/>
              </w:rPr>
              <w:t>Role</w:t>
            </w:r>
          </w:p>
        </w:tc>
        <w:tc>
          <w:tcPr>
            <w:tcW w:type="dxa" w:w="2232"/>
            <w:vAlign w:val="center"/>
            <w:shd w:fill="E8E8E8"/>
            <w:tcMar>
              <w:top w:w="65" w:type="dxa"/>
              <w:bottom w:w="65" w:type="dxa"/>
              <w:left w:w="65" w:type="dxa"/>
              <w:right w:w="65" w:type="dxa"/>
            </w:tcMar>
          </w:tcPr>
          <w:p>
            <w:pPr>
              <w:spacing w:after="40" w:before="40" w:line="240" w:lineRule="auto"/>
            </w:pPr>
            <w:r>
              <w:rPr>
                <w:rFonts w:ascii="Arial" w:hAnsi="Arial"/>
                <w:b/>
                <w:sz w:val="19"/>
              </w:rPr>
              <w:t>Name</w:t>
            </w:r>
          </w:p>
        </w:tc>
        <w:tc>
          <w:tcPr>
            <w:tcW w:type="dxa" w:w="2448"/>
            <w:vAlign w:val="center"/>
            <w:shd w:fill="E8E8E8"/>
            <w:tcMar>
              <w:top w:w="65" w:type="dxa"/>
              <w:bottom w:w="65" w:type="dxa"/>
              <w:left w:w="65" w:type="dxa"/>
              <w:right w:w="65" w:type="dxa"/>
            </w:tcMar>
          </w:tcPr>
          <w:p>
            <w:pPr>
              <w:spacing w:after="40" w:before="40" w:line="240" w:lineRule="auto"/>
            </w:pPr>
            <w:r>
              <w:rPr>
                <w:rFonts w:ascii="Arial" w:hAnsi="Arial"/>
                <w:b/>
                <w:sz w:val="19"/>
              </w:rPr>
              <w:t>Email</w:t>
            </w:r>
          </w:p>
        </w:tc>
        <w:tc>
          <w:tcPr>
            <w:tcW w:type="dxa" w:w="3312"/>
            <w:vAlign w:val="center"/>
            <w:shd w:fill="E8E8E8"/>
            <w:tcMar>
              <w:top w:w="65" w:type="dxa"/>
              <w:bottom w:w="65" w:type="dxa"/>
              <w:left w:w="65" w:type="dxa"/>
              <w:right w:w="65" w:type="dxa"/>
            </w:tcMar>
          </w:tcPr>
          <w:p>
            <w:pPr>
              <w:spacing w:after="40" w:before="40" w:line="240" w:lineRule="auto"/>
            </w:pPr>
            <w:r>
              <w:rPr>
                <w:rFonts w:ascii="Arial" w:hAnsi="Arial"/>
                <w:b/>
                <w:sz w:val="19"/>
              </w:rPr>
              <w:t>Office Hours / Location</w:t>
            </w:r>
          </w:p>
        </w:tc>
      </w:tr>
      <w:tr>
        <w:trPr>
          <w:cantSplit/>
        </w:trPr>
        <w:tc>
          <w:tcPr>
            <w:tcW w:type="dxa" w:w="2088"/>
            <w:vAlign w:val="center"/>
            <w:tcMar>
              <w:top w:w="65" w:type="dxa"/>
              <w:bottom w:w="65" w:type="dxa"/>
              <w:left w:w="65" w:type="dxa"/>
              <w:right w:w="65" w:type="dxa"/>
            </w:tcMar>
          </w:tcPr>
          <w:p>
            <w:pPr>
              <w:spacing w:after="40" w:before="40" w:line="240" w:lineRule="auto"/>
            </w:pPr>
            <w:r>
              <w:rPr>
                <w:rFonts w:ascii="Arial" w:hAnsi="Arial"/>
                <w:b w:val="0"/>
                <w:sz w:val="19"/>
              </w:rPr>
              <w:t>Lab TA / Section ______</w:t>
            </w:r>
          </w:p>
        </w:tc>
        <w:tc>
          <w:tcPr>
            <w:tcW w:type="dxa" w:w="2232"/>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r>
      <w:tr>
        <w:trPr>
          <w:cantSplit/>
        </w:trPr>
        <w:tc>
          <w:tcPr>
            <w:tcW w:type="dxa" w:w="2088"/>
            <w:vAlign w:val="center"/>
            <w:tcMar>
              <w:top w:w="65" w:type="dxa"/>
              <w:bottom w:w="65" w:type="dxa"/>
              <w:left w:w="65" w:type="dxa"/>
              <w:right w:w="65" w:type="dxa"/>
            </w:tcMar>
          </w:tcPr>
          <w:p>
            <w:pPr>
              <w:spacing w:after="40" w:before="40" w:line="240" w:lineRule="auto"/>
            </w:pPr>
            <w:r>
              <w:rPr>
                <w:rFonts w:ascii="Arial" w:hAnsi="Arial"/>
                <w:b w:val="0"/>
                <w:sz w:val="19"/>
              </w:rPr>
              <w:t>Lab TA / Section ______</w:t>
            </w:r>
          </w:p>
        </w:tc>
        <w:tc>
          <w:tcPr>
            <w:tcW w:type="dxa" w:w="2232"/>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r>
      <w:tr>
        <w:trPr>
          <w:cantSplit/>
        </w:trPr>
        <w:tc>
          <w:tcPr>
            <w:tcW w:type="dxa" w:w="2088"/>
            <w:vAlign w:val="center"/>
            <w:tcMar>
              <w:top w:w="65" w:type="dxa"/>
              <w:bottom w:w="65" w:type="dxa"/>
              <w:left w:w="65" w:type="dxa"/>
              <w:right w:w="65" w:type="dxa"/>
            </w:tcMar>
          </w:tcPr>
          <w:p>
            <w:pPr>
              <w:spacing w:after="40" w:before="40" w:line="240" w:lineRule="auto"/>
            </w:pPr>
            <w:r>
              <w:rPr>
                <w:rFonts w:ascii="Arial" w:hAnsi="Arial"/>
                <w:b w:val="0"/>
                <w:sz w:val="19"/>
              </w:rPr>
              <w:t>Exam support</w:t>
            </w:r>
          </w:p>
        </w:tc>
        <w:tc>
          <w:tcPr>
            <w:tcW w:type="dxa" w:w="2232"/>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________________</w:t>
            </w:r>
          </w:p>
        </w:tc>
      </w:tr>
    </w:tbl>
    <w:p>
      <w:pPr>
        <w:pStyle w:val="Heading2"/>
      </w:pPr>
      <w:r>
        <w:t>Grading</w:t>
      </w:r>
    </w:p>
    <w:p>
      <w:pPr/>
      <w:r>
        <w:rPr>
          <w:b w:val="0"/>
        </w:rPr>
        <w:t>Lecture and laboratory are each scored out of 100%. Your final course grade is 50% lecture and 50% laboratory. You must earn at least 60% in BOTH components to pass. A strong score in one component does not replace the minimum in the other. These component rules follow the supplied model syllabus and remain subject to instructor and departmental review.</w:t>
      </w:r>
    </w:p>
    <w:p>
      <w:pPr>
        <w:pStyle w:val="Heading3"/>
      </w:pPr>
      <w:r>
        <w:t>Lecture Component (100%)</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5328"/>
        <w:gridCol w:w="3312"/>
        <w:gridCol w:w="1440"/>
      </w:tblGrid>
      <w:tr>
        <w:trPr>
          <w:cantSplit/>
          <w:tblHeader/>
        </w:trPr>
        <w:tc>
          <w:tcPr>
            <w:tcW w:type="dxa" w:w="5328"/>
            <w:vAlign w:val="center"/>
            <w:shd w:fill="E8E8E8"/>
            <w:tcMar>
              <w:top w:w="65" w:type="dxa"/>
              <w:bottom w:w="65" w:type="dxa"/>
              <w:left w:w="65" w:type="dxa"/>
              <w:right w:w="65" w:type="dxa"/>
            </w:tcMar>
          </w:tcPr>
          <w:p>
            <w:pPr>
              <w:spacing w:after="40" w:before="40" w:line="240" w:lineRule="auto"/>
            </w:pPr>
            <w:r>
              <w:rPr>
                <w:rFonts w:ascii="Arial" w:hAnsi="Arial"/>
                <w:b/>
                <w:sz w:val="19"/>
              </w:rPr>
              <w:t>Assessment</w:t>
            </w:r>
          </w:p>
        </w:tc>
        <w:tc>
          <w:tcPr>
            <w:tcW w:type="dxa" w:w="3312"/>
            <w:vAlign w:val="center"/>
            <w:shd w:fill="E8E8E8"/>
            <w:tcMar>
              <w:top w:w="65" w:type="dxa"/>
              <w:bottom w:w="65" w:type="dxa"/>
              <w:left w:w="65" w:type="dxa"/>
              <w:right w:w="65" w:type="dxa"/>
            </w:tcMar>
          </w:tcPr>
          <w:p>
            <w:pPr>
              <w:spacing w:after="40" w:before="40" w:line="240" w:lineRule="auto"/>
            </w:pPr>
            <w:r>
              <w:rPr>
                <w:rFonts w:ascii="Arial" w:hAnsi="Arial"/>
                <w:b/>
                <w:sz w:val="19"/>
              </w:rPr>
              <w:t>Weight of Lecture Grade</w:t>
            </w:r>
          </w:p>
        </w:tc>
        <w:tc>
          <w:tcPr>
            <w:tcW w:type="dxa" w:w="1440"/>
            <w:vAlign w:val="center"/>
            <w:shd w:fill="E8E8E8"/>
            <w:tcMar>
              <w:top w:w="65" w:type="dxa"/>
              <w:bottom w:w="65" w:type="dxa"/>
              <w:left w:w="65" w:type="dxa"/>
              <w:right w:w="65" w:type="dxa"/>
            </w:tcMar>
          </w:tcPr>
          <w:p>
            <w:pPr>
              <w:spacing w:after="40" w:before="40" w:line="240" w:lineRule="auto"/>
            </w:pPr>
            <w:r>
              <w:rPr>
                <w:rFonts w:ascii="Arial" w:hAnsi="Arial"/>
                <w:b/>
                <w:sz w:val="19"/>
              </w:rPr>
              <w:t>Points</w:t>
            </w:r>
          </w:p>
        </w:tc>
      </w:tr>
      <w:tr>
        <w:trPr>
          <w:cantSplit/>
        </w:trPr>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Exam 1: Lectures 1–10</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20%</w:t>
            </w:r>
          </w:p>
        </w:tc>
        <w:tc>
          <w:tcPr>
            <w:tcW w:type="dxa" w:w="1440"/>
            <w:vAlign w:val="center"/>
            <w:tcMar>
              <w:top w:w="65" w:type="dxa"/>
              <w:bottom w:w="65" w:type="dxa"/>
              <w:left w:w="65" w:type="dxa"/>
              <w:right w:w="65" w:type="dxa"/>
            </w:tcMar>
          </w:tcPr>
          <w:p>
            <w:pPr>
              <w:spacing w:after="40" w:before="40" w:line="240" w:lineRule="auto"/>
            </w:pPr>
            <w:r>
              <w:rPr>
                <w:rFonts w:ascii="Arial" w:hAnsi="Arial"/>
                <w:b w:val="0"/>
                <w:sz w:val="19"/>
              </w:rPr>
              <w:t>120</w:t>
            </w:r>
          </w:p>
        </w:tc>
      </w:tr>
      <w:tr>
        <w:trPr>
          <w:cantSplit/>
        </w:trPr>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Exam 2: Lectures 11–20</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20%</w:t>
            </w:r>
          </w:p>
        </w:tc>
        <w:tc>
          <w:tcPr>
            <w:tcW w:type="dxa" w:w="1440"/>
            <w:vAlign w:val="center"/>
            <w:tcMar>
              <w:top w:w="65" w:type="dxa"/>
              <w:bottom w:w="65" w:type="dxa"/>
              <w:left w:w="65" w:type="dxa"/>
              <w:right w:w="65" w:type="dxa"/>
            </w:tcMar>
          </w:tcPr>
          <w:p>
            <w:pPr>
              <w:spacing w:after="40" w:before="40" w:line="240" w:lineRule="auto"/>
            </w:pPr>
            <w:r>
              <w:rPr>
                <w:rFonts w:ascii="Arial" w:hAnsi="Arial"/>
                <w:b w:val="0"/>
                <w:sz w:val="19"/>
              </w:rPr>
              <w:t>120</w:t>
            </w:r>
          </w:p>
        </w:tc>
      </w:tr>
      <w:tr>
        <w:trPr>
          <w:cantSplit/>
        </w:trPr>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Exam 3: Lectures 21–30</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20%</w:t>
            </w:r>
          </w:p>
        </w:tc>
        <w:tc>
          <w:tcPr>
            <w:tcW w:type="dxa" w:w="1440"/>
            <w:vAlign w:val="center"/>
            <w:tcMar>
              <w:top w:w="65" w:type="dxa"/>
              <w:bottom w:w="65" w:type="dxa"/>
              <w:left w:w="65" w:type="dxa"/>
              <w:right w:w="65" w:type="dxa"/>
            </w:tcMar>
          </w:tcPr>
          <w:p>
            <w:pPr>
              <w:spacing w:after="40" w:before="40" w:line="240" w:lineRule="auto"/>
            </w:pPr>
            <w:r>
              <w:rPr>
                <w:rFonts w:ascii="Arial" w:hAnsi="Arial"/>
                <w:b w:val="0"/>
                <w:sz w:val="19"/>
              </w:rPr>
              <w:t>120</w:t>
            </w:r>
          </w:p>
        </w:tc>
      </w:tr>
      <w:tr>
        <w:trPr>
          <w:cantSplit/>
        </w:trPr>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Exam 4: Lectures 31–41</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20%</w:t>
            </w:r>
          </w:p>
        </w:tc>
        <w:tc>
          <w:tcPr>
            <w:tcW w:type="dxa" w:w="1440"/>
            <w:vAlign w:val="center"/>
            <w:tcMar>
              <w:top w:w="65" w:type="dxa"/>
              <w:bottom w:w="65" w:type="dxa"/>
              <w:left w:w="65" w:type="dxa"/>
              <w:right w:w="65" w:type="dxa"/>
            </w:tcMar>
          </w:tcPr>
          <w:p>
            <w:pPr>
              <w:spacing w:after="40" w:before="40" w:line="240" w:lineRule="auto"/>
            </w:pPr>
            <w:r>
              <w:rPr>
                <w:rFonts w:ascii="Arial" w:hAnsi="Arial"/>
                <w:b w:val="0"/>
                <w:sz w:val="19"/>
              </w:rPr>
              <w:t>120</w:t>
            </w:r>
          </w:p>
        </w:tc>
      </w:tr>
      <w:tr>
        <w:trPr>
          <w:cantSplit/>
        </w:trPr>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Psychological Evidence Project</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20%</w:t>
            </w:r>
          </w:p>
        </w:tc>
        <w:tc>
          <w:tcPr>
            <w:tcW w:type="dxa" w:w="1440"/>
            <w:vAlign w:val="center"/>
            <w:tcMar>
              <w:top w:w="65" w:type="dxa"/>
              <w:bottom w:w="65" w:type="dxa"/>
              <w:left w:w="65" w:type="dxa"/>
              <w:right w:w="65" w:type="dxa"/>
            </w:tcMar>
          </w:tcPr>
          <w:p>
            <w:pPr>
              <w:spacing w:after="40" w:before="40" w:line="240" w:lineRule="auto"/>
            </w:pPr>
            <w:r>
              <w:rPr>
                <w:rFonts w:ascii="Arial" w:hAnsi="Arial"/>
                <w:b w:val="0"/>
                <w:sz w:val="19"/>
              </w:rPr>
              <w:t>120</w:t>
            </w:r>
          </w:p>
        </w:tc>
      </w:tr>
      <w:tr>
        <w:trPr>
          <w:cantSplit/>
        </w:trPr>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Total</w:t>
            </w:r>
          </w:p>
        </w:tc>
        <w:tc>
          <w:tcPr>
            <w:tcW w:type="dxa" w:w="3312"/>
            <w:vAlign w:val="center"/>
            <w:tcMar>
              <w:top w:w="65" w:type="dxa"/>
              <w:bottom w:w="65" w:type="dxa"/>
              <w:left w:w="65" w:type="dxa"/>
              <w:right w:w="65" w:type="dxa"/>
            </w:tcMar>
          </w:tcPr>
          <w:p>
            <w:pPr>
              <w:spacing w:after="40" w:before="40" w:line="240" w:lineRule="auto"/>
            </w:pPr>
            <w:r>
              <w:rPr>
                <w:rFonts w:ascii="Arial" w:hAnsi="Arial"/>
                <w:b w:val="0"/>
                <w:sz w:val="19"/>
              </w:rPr>
              <w:t>100%</w:t>
            </w:r>
          </w:p>
        </w:tc>
        <w:tc>
          <w:tcPr>
            <w:tcW w:type="dxa" w:w="1440"/>
            <w:vAlign w:val="center"/>
            <w:tcMar>
              <w:top w:w="65" w:type="dxa"/>
              <w:bottom w:w="65" w:type="dxa"/>
              <w:left w:w="65" w:type="dxa"/>
              <w:right w:w="65" w:type="dxa"/>
            </w:tcMar>
          </w:tcPr>
          <w:p>
            <w:pPr>
              <w:spacing w:after="40" w:before="40" w:line="240" w:lineRule="auto"/>
            </w:pPr>
            <w:r>
              <w:rPr>
                <w:rFonts w:ascii="Arial" w:hAnsi="Arial"/>
                <w:b w:val="0"/>
                <w:sz w:val="19"/>
              </w:rPr>
              <w:t>600</w:t>
            </w:r>
          </w:p>
        </w:tc>
      </w:tr>
    </w:tbl>
    <w:p>
      <w:pPr>
        <w:pStyle w:val="Heading3"/>
      </w:pPr>
      <w:r>
        <w:t>Laboratory Component (100%)</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632"/>
        <w:gridCol w:w="2448"/>
      </w:tblGrid>
      <w:tr>
        <w:trPr>
          <w:cantSplit/>
          <w:tblHeader/>
        </w:trPr>
        <w:tc>
          <w:tcPr>
            <w:tcW w:type="dxa" w:w="7632"/>
            <w:vAlign w:val="center"/>
            <w:shd w:fill="E8E8E8"/>
            <w:tcMar>
              <w:top w:w="65" w:type="dxa"/>
              <w:bottom w:w="65" w:type="dxa"/>
              <w:left w:w="65" w:type="dxa"/>
              <w:right w:w="65" w:type="dxa"/>
            </w:tcMar>
          </w:tcPr>
          <w:p>
            <w:pPr>
              <w:spacing w:after="40" w:before="40" w:line="240" w:lineRule="auto"/>
            </w:pPr>
            <w:r>
              <w:rPr>
                <w:rFonts w:ascii="Arial" w:hAnsi="Arial"/>
                <w:b/>
                <w:sz w:val="19"/>
              </w:rPr>
              <w:t>Assessment</w:t>
            </w:r>
          </w:p>
        </w:tc>
        <w:tc>
          <w:tcPr>
            <w:tcW w:type="dxa" w:w="2448"/>
            <w:vAlign w:val="center"/>
            <w:shd w:fill="E8E8E8"/>
            <w:tcMar>
              <w:top w:w="65" w:type="dxa"/>
              <w:bottom w:w="65" w:type="dxa"/>
              <w:left w:w="65" w:type="dxa"/>
              <w:right w:w="65" w:type="dxa"/>
            </w:tcMar>
          </w:tcPr>
          <w:p>
            <w:pPr>
              <w:spacing w:after="40" w:before="40" w:line="240" w:lineRule="auto"/>
            </w:pPr>
            <w:r>
              <w:rPr>
                <w:rFonts w:ascii="Arial" w:hAnsi="Arial"/>
                <w:b/>
                <w:sz w:val="19"/>
              </w:rPr>
              <w:t>Weight of Lab Grade</w:t>
            </w:r>
          </w:p>
        </w:tc>
      </w:tr>
      <w:tr>
        <w:trPr>
          <w:cantSplit/>
        </w:trPr>
        <w:tc>
          <w:tcPr>
            <w:tcW w:type="dxa" w:w="7632"/>
            <w:vAlign w:val="center"/>
            <w:tcMar>
              <w:top w:w="65" w:type="dxa"/>
              <w:bottom w:w="65" w:type="dxa"/>
              <w:left w:w="65" w:type="dxa"/>
              <w:right w:w="65" w:type="dxa"/>
            </w:tcMar>
          </w:tcPr>
          <w:p>
            <w:pPr>
              <w:spacing w:after="40" w:before="40" w:line="240" w:lineRule="auto"/>
            </w:pPr>
            <w:r>
              <w:rPr>
                <w:rFonts w:ascii="Arial" w:hAnsi="Arial"/>
                <w:b w:val="0"/>
                <w:sz w:val="19"/>
              </w:rPr>
              <w:t>Lab reports: best 8 of 10, 7.5% each</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60%</w:t>
            </w:r>
          </w:p>
        </w:tc>
      </w:tr>
      <w:tr>
        <w:trPr>
          <w:cantSplit/>
        </w:trPr>
        <w:tc>
          <w:tcPr>
            <w:tcW w:type="dxa" w:w="7632"/>
            <w:vAlign w:val="center"/>
            <w:tcMar>
              <w:top w:w="65" w:type="dxa"/>
              <w:bottom w:w="65" w:type="dxa"/>
              <w:left w:w="65" w:type="dxa"/>
              <w:right w:w="65" w:type="dxa"/>
            </w:tcMar>
          </w:tcPr>
          <w:p>
            <w:pPr>
              <w:spacing w:after="40" w:before="40" w:line="240" w:lineRule="auto"/>
            </w:pPr>
            <w:r>
              <w:rPr>
                <w:rFonts w:ascii="Arial" w:hAnsi="Arial"/>
                <w:b w:val="0"/>
                <w:sz w:val="19"/>
              </w:rPr>
              <w:t>Lab attendance and participation</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10%</w:t>
            </w:r>
          </w:p>
        </w:tc>
      </w:tr>
      <w:tr>
        <w:trPr>
          <w:cantSplit/>
        </w:trPr>
        <w:tc>
          <w:tcPr>
            <w:tcW w:type="dxa" w:w="7632"/>
            <w:vAlign w:val="center"/>
            <w:tcMar>
              <w:top w:w="65" w:type="dxa"/>
              <w:bottom w:w="65" w:type="dxa"/>
              <w:left w:w="65" w:type="dxa"/>
              <w:right w:w="65" w:type="dxa"/>
            </w:tcMar>
          </w:tcPr>
          <w:p>
            <w:pPr>
              <w:spacing w:after="40" w:before="40" w:line="240" w:lineRule="auto"/>
            </w:pPr>
            <w:r>
              <w:rPr>
                <w:rFonts w:ascii="Arial" w:hAnsi="Arial"/>
                <w:b w:val="0"/>
                <w:sz w:val="19"/>
              </w:rPr>
              <w:t>Methods assignments: 3 at 5% each</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15%</w:t>
            </w:r>
          </w:p>
        </w:tc>
      </w:tr>
      <w:tr>
        <w:trPr>
          <w:cantSplit/>
        </w:trPr>
        <w:tc>
          <w:tcPr>
            <w:tcW w:type="dxa" w:w="7632"/>
            <w:vAlign w:val="center"/>
            <w:tcMar>
              <w:top w:w="65" w:type="dxa"/>
              <w:bottom w:w="65" w:type="dxa"/>
              <w:left w:w="65" w:type="dxa"/>
              <w:right w:w="65" w:type="dxa"/>
            </w:tcMar>
          </w:tcPr>
          <w:p>
            <w:pPr>
              <w:spacing w:after="40" w:before="40" w:line="240" w:lineRule="auto"/>
            </w:pPr>
            <w:r>
              <w:rPr>
                <w:rFonts w:ascii="Arial" w:hAnsi="Arial"/>
                <w:b w:val="0"/>
                <w:sz w:val="19"/>
              </w:rPr>
              <w:t>Mini-Replication Project</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15%</w:t>
            </w:r>
          </w:p>
        </w:tc>
      </w:tr>
      <w:tr>
        <w:trPr>
          <w:cantSplit/>
        </w:trPr>
        <w:tc>
          <w:tcPr>
            <w:tcW w:type="dxa" w:w="7632"/>
            <w:vAlign w:val="center"/>
            <w:tcMar>
              <w:top w:w="65" w:type="dxa"/>
              <w:bottom w:w="65" w:type="dxa"/>
              <w:left w:w="65" w:type="dxa"/>
              <w:right w:w="65" w:type="dxa"/>
            </w:tcMar>
          </w:tcPr>
          <w:p>
            <w:pPr>
              <w:spacing w:after="40" w:before="40" w:line="240" w:lineRule="auto"/>
            </w:pPr>
            <w:r>
              <w:rPr>
                <w:rFonts w:ascii="Arial" w:hAnsi="Arial"/>
                <w:b w:val="0"/>
                <w:sz w:val="19"/>
              </w:rPr>
              <w:t>Total</w:t>
            </w:r>
          </w:p>
        </w:tc>
        <w:tc>
          <w:tcPr>
            <w:tcW w:type="dxa" w:w="2448"/>
            <w:vAlign w:val="center"/>
            <w:tcMar>
              <w:top w:w="65" w:type="dxa"/>
              <w:bottom w:w="65" w:type="dxa"/>
              <w:left w:w="65" w:type="dxa"/>
              <w:right w:w="65" w:type="dxa"/>
            </w:tcMar>
          </w:tcPr>
          <w:p>
            <w:pPr>
              <w:spacing w:after="40" w:before="40" w:line="240" w:lineRule="auto"/>
            </w:pPr>
            <w:r>
              <w:rPr>
                <w:rFonts w:ascii="Arial" w:hAnsi="Arial"/>
                <w:b w:val="0"/>
                <w:sz w:val="19"/>
              </w:rPr>
              <w:t>100%</w:t>
            </w:r>
          </w:p>
        </w:tc>
      </w:tr>
    </w:tbl>
    <w:p>
      <w:pPr/>
      <w:r>
        <w:rPr>
          <w:b w:val="0"/>
          <w:sz w:val="18"/>
        </w:rPr>
        <w:t>Course-grade calculation: 0.50 × lecture percentage + 0.50 × laboratory percentage. Each exam and the lecture project contribute 10% of the overall course grade; counted lab reports contribute 30%, participation 5%, methods assignments 7.5%, and the mini-replication 7.5%.</w:t>
      </w:r>
    </w:p>
    <w:p>
      <w:r>
        <w:br w:type="page"/>
      </w:r>
    </w:p>
    <w:p>
      <w:pPr>
        <w:pStyle w:val="Heading2"/>
      </w:pPr>
      <w:r>
        <w:t>Dr. J’s Grading Philosophy and Curve</w:t>
      </w:r>
    </w:p>
    <w:p>
      <w:pPr/>
      <w:r>
        <w:rPr>
          <w:b w:val="0"/>
        </w:rPr>
        <w:t>Introductory psychology asks you to explain behavior with evidence. Memorizing a term is a starting point; you must also explain a concept, interpret a result, distinguish competing explanations, and apply what you have learned to a new example. The course is demanding, but methods, analysis, and scientific writing are introduced in steps. Advanced neuroscience knowledge is not required.</w:t>
      </w:r>
    </w:p>
    <w:p>
      <w:pPr/>
      <w:r>
        <w:rPr>
          <w:b w:val="0"/>
        </w:rPr>
        <w:t>Grades reflect scientific accuracy, clear reasoning, careful analysis, and the quality of the submitted work. Early labs use guided templates and feedback. An unexpected or statistically inconclusive result can earn full credit when the methods, analysis, and interpretation are sound. Fabricated data cannot.</w:t>
      </w:r>
    </w:p>
    <w:p>
      <w:pPr/>
      <w:r>
        <w:rPr>
          <w:b w:val="0"/>
        </w:rPr>
        <w:t>Following the model syllabus, if the final weighted class average before curving is below 70%, an upward adjustment will be applied at the end of the course. If the average is at least 70%, no curve is applied. Any adjustment will be explained consistently to the class and will not lower earned grades. It does not replace missing work or the requirement to earn at least 60% in both components.</w:t>
      </w:r>
    </w:p>
    <w:p>
      <w:pPr>
        <w:pStyle w:val="Heading3"/>
      </w:pPr>
      <w:r>
        <w:t>Grading Scale After Curving</w:t>
      </w:r>
    </w:p>
    <w:p>
      <w:pPr/>
      <w:r>
        <w:rPr>
          <w:b w:val="0"/>
        </w:rPr>
        <w:t>The following ranges retain the model syllabus’s proposed scale. Final cutoffs and component-pass requirements must be confirmed before publication; they will be announced to students with the issued syllabus.</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880"/>
        <w:gridCol w:w="7200"/>
      </w:tblGrid>
      <w:tr>
        <w:trPr>
          <w:cantSplit/>
          <w:tblHeader/>
        </w:trPr>
        <w:tc>
          <w:tcPr>
            <w:tcW w:type="dxa" w:w="2880"/>
            <w:vAlign w:val="center"/>
            <w:shd w:fill="E8E8E8"/>
            <w:tcMar>
              <w:top w:w="65" w:type="dxa"/>
              <w:bottom w:w="65" w:type="dxa"/>
              <w:left w:w="65" w:type="dxa"/>
              <w:right w:w="65" w:type="dxa"/>
            </w:tcMar>
          </w:tcPr>
          <w:p>
            <w:pPr>
              <w:spacing w:after="40" w:before="40" w:line="240" w:lineRule="auto"/>
            </w:pPr>
            <w:r>
              <w:rPr>
                <w:rFonts w:ascii="Arial" w:hAnsi="Arial"/>
                <w:b/>
                <w:sz w:val="19"/>
              </w:rPr>
              <w:t>Letter Grade</w:t>
            </w:r>
          </w:p>
        </w:tc>
        <w:tc>
          <w:tcPr>
            <w:tcW w:type="dxa" w:w="7200"/>
            <w:vAlign w:val="center"/>
            <w:shd w:fill="E8E8E8"/>
            <w:tcMar>
              <w:top w:w="65" w:type="dxa"/>
              <w:bottom w:w="65" w:type="dxa"/>
              <w:left w:w="65" w:type="dxa"/>
              <w:right w:w="65" w:type="dxa"/>
            </w:tcMar>
          </w:tcPr>
          <w:p>
            <w:pPr>
              <w:spacing w:after="40" w:before="40" w:line="240" w:lineRule="auto"/>
            </w:pPr>
            <w:r>
              <w:rPr>
                <w:rFonts w:ascii="Arial" w:hAnsi="Arial"/>
                <w:b/>
                <w:sz w:val="19"/>
              </w:rPr>
              <w:t>Proposed Percentage Range</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A</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90–100%</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A−</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85–89.9%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B+</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80–84.9%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B</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75–79.9%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B−</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70–74.9%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C+</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65–69.9%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C</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60–64.9%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C−</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55–59.9%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D</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45–54.9%</w:t>
            </w:r>
          </w:p>
        </w:tc>
      </w:tr>
      <w:tr>
        <w:trPr>
          <w:cantSplit/>
        </w:trPr>
        <w:tc>
          <w:tcPr>
            <w:tcW w:type="dxa" w:w="2880"/>
            <w:vAlign w:val="center"/>
            <w:tcMar>
              <w:top w:w="65" w:type="dxa"/>
              <w:bottom w:w="65" w:type="dxa"/>
              <w:left w:w="65" w:type="dxa"/>
              <w:right w:w="65" w:type="dxa"/>
            </w:tcMar>
          </w:tcPr>
          <w:p>
            <w:pPr>
              <w:spacing w:after="40" w:before="40" w:line="240" w:lineRule="auto"/>
            </w:pPr>
            <w:r>
              <w:rPr>
                <w:rFonts w:ascii="Arial" w:hAnsi="Arial"/>
                <w:b w:val="0"/>
                <w:sz w:val="19"/>
              </w:rPr>
              <w:t>F</w:t>
            </w:r>
          </w:p>
        </w:tc>
        <w:tc>
          <w:tcPr>
            <w:tcW w:type="dxa" w:w="7200"/>
            <w:vAlign w:val="center"/>
            <w:tcMar>
              <w:top w:w="65" w:type="dxa"/>
              <w:bottom w:w="65" w:type="dxa"/>
              <w:left w:w="65" w:type="dxa"/>
              <w:right w:w="65" w:type="dxa"/>
            </w:tcMar>
          </w:tcPr>
          <w:p>
            <w:pPr>
              <w:spacing w:after="40" w:before="40" w:line="240" w:lineRule="auto"/>
            </w:pPr>
            <w:r>
              <w:rPr>
                <w:rFonts w:ascii="Arial" w:hAnsi="Arial"/>
                <w:b w:val="0"/>
                <w:sz w:val="19"/>
              </w:rPr>
              <w:t>Below 45%</w:t>
            </w:r>
          </w:p>
        </w:tc>
      </w:tr>
    </w:tbl>
    <w:p>
      <w:pPr/>
      <w:r>
        <w:rPr>
          <w:b w:val="0"/>
        </w:rPr>
        <w:t>Final grades are not rounded up. The component-pass rule applies regardless of the letter-grade scale: an average of at least 60% in each component is required for a passing course result. A course average alone does not establish that both conditions were met.</w:t>
      </w:r>
    </w:p>
    <w:p>
      <w:r>
        <w:br w:type="page"/>
      </w:r>
    </w:p>
    <w:p>
      <w:pPr>
        <w:pStyle w:val="Heading2"/>
      </w:pPr>
      <w:r>
        <w:t>Exams</w:t>
      </w:r>
    </w:p>
    <w:p>
      <w:pPr/>
      <w:r>
        <w:rPr>
          <w:b w:val="0"/>
        </w:rPr>
        <w:t>There are four equally weighted exams, each worth 120 points. Exams 1–3 each cover ten lectures; Exam 4 covers the final eleven lectures. Exams are not cumulative in their assigned topic coverage, but earlier concepts remain necessary for understanding later material. All exams use the separately scheduled exam session; the MWF lecture continues with its normal new topic on an exam date.</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152"/>
        <w:gridCol w:w="3600"/>
        <w:gridCol w:w="5328"/>
      </w:tblGrid>
      <w:tr>
        <w:trPr>
          <w:cantSplit/>
          <w:tblHeader/>
        </w:trPr>
        <w:tc>
          <w:tcPr>
            <w:tcW w:type="dxa" w:w="1152"/>
            <w:vAlign w:val="center"/>
            <w:shd w:fill="E8E8E8"/>
            <w:tcMar>
              <w:top w:w="65" w:type="dxa"/>
              <w:bottom w:w="65" w:type="dxa"/>
              <w:left w:w="65" w:type="dxa"/>
              <w:right w:w="65" w:type="dxa"/>
            </w:tcMar>
          </w:tcPr>
          <w:p>
            <w:pPr>
              <w:spacing w:after="40" w:before="40" w:line="240" w:lineRule="auto"/>
            </w:pPr>
            <w:r>
              <w:rPr>
                <w:rFonts w:ascii="Arial" w:hAnsi="Arial"/>
                <w:b/>
                <w:sz w:val="19"/>
              </w:rPr>
              <w:t>Exam</w:t>
            </w:r>
          </w:p>
        </w:tc>
        <w:tc>
          <w:tcPr>
            <w:tcW w:type="dxa" w:w="3600"/>
            <w:vAlign w:val="center"/>
            <w:shd w:fill="E8E8E8"/>
            <w:tcMar>
              <w:top w:w="65" w:type="dxa"/>
              <w:bottom w:w="65" w:type="dxa"/>
              <w:left w:w="65" w:type="dxa"/>
              <w:right w:w="65" w:type="dxa"/>
            </w:tcMar>
          </w:tcPr>
          <w:p>
            <w:pPr>
              <w:spacing w:after="40" w:before="40" w:line="240" w:lineRule="auto"/>
            </w:pPr>
            <w:r>
              <w:rPr>
                <w:rFonts w:ascii="Arial" w:hAnsi="Arial"/>
                <w:b/>
                <w:sz w:val="19"/>
              </w:rPr>
              <w:t>Proposed Date</w:t>
            </w:r>
          </w:p>
        </w:tc>
        <w:tc>
          <w:tcPr>
            <w:tcW w:type="dxa" w:w="5328"/>
            <w:vAlign w:val="center"/>
            <w:shd w:fill="E8E8E8"/>
            <w:tcMar>
              <w:top w:w="65" w:type="dxa"/>
              <w:bottom w:w="65" w:type="dxa"/>
              <w:left w:w="65" w:type="dxa"/>
              <w:right w:w="65" w:type="dxa"/>
            </w:tcMar>
          </w:tcPr>
          <w:p>
            <w:pPr>
              <w:spacing w:after="40" w:before="40" w:line="240" w:lineRule="auto"/>
            </w:pPr>
            <w:r>
              <w:rPr>
                <w:rFonts w:ascii="Arial" w:hAnsi="Arial"/>
                <w:b/>
                <w:sz w:val="19"/>
              </w:rPr>
              <w:t>Coverage</w:t>
            </w:r>
          </w:p>
        </w:tc>
      </w:tr>
      <w:tr>
        <w:trPr>
          <w:cantSplit/>
        </w:trPr>
        <w:tc>
          <w:tcPr>
            <w:tcW w:type="dxa" w:w="1152"/>
            <w:vAlign w:val="center"/>
            <w:tcMar>
              <w:top w:w="65" w:type="dxa"/>
              <w:bottom w:w="65" w:type="dxa"/>
              <w:left w:w="65" w:type="dxa"/>
              <w:right w:w="65" w:type="dxa"/>
            </w:tcMar>
          </w:tcPr>
          <w:p>
            <w:pPr>
              <w:spacing w:after="40" w:before="40" w:line="240" w:lineRule="auto"/>
            </w:pPr>
            <w:r>
              <w:rPr>
                <w:rFonts w:ascii="Arial" w:hAnsi="Arial"/>
                <w:b w:val="0"/>
                <w:sz w:val="19"/>
              </w:rPr>
              <w:t>Exam 1</w:t>
            </w:r>
          </w:p>
        </w:tc>
        <w:tc>
          <w:tcPr>
            <w:tcW w:type="dxa" w:w="3600"/>
            <w:vAlign w:val="center"/>
            <w:tcMar>
              <w:top w:w="65" w:type="dxa"/>
              <w:bottom w:w="65" w:type="dxa"/>
              <w:left w:w="65" w:type="dxa"/>
              <w:right w:w="65" w:type="dxa"/>
            </w:tcMar>
          </w:tcPr>
          <w:p>
            <w:pPr>
              <w:spacing w:after="40" w:before="40" w:line="240" w:lineRule="auto"/>
            </w:pPr>
            <w:r>
              <w:rPr>
                <w:rFonts w:ascii="Arial" w:hAnsi="Arial"/>
                <w:b w:val="0"/>
                <w:sz w:val="19"/>
              </w:rPr>
              <w:t>Mon Sep 20</w:t>
            </w:r>
          </w:p>
        </w:tc>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Lectures 1–10</w:t>
            </w:r>
          </w:p>
        </w:tc>
      </w:tr>
      <w:tr>
        <w:trPr>
          <w:cantSplit/>
        </w:trPr>
        <w:tc>
          <w:tcPr>
            <w:tcW w:type="dxa" w:w="1152"/>
            <w:vAlign w:val="center"/>
            <w:tcMar>
              <w:top w:w="65" w:type="dxa"/>
              <w:bottom w:w="65" w:type="dxa"/>
              <w:left w:w="65" w:type="dxa"/>
              <w:right w:w="65" w:type="dxa"/>
            </w:tcMar>
          </w:tcPr>
          <w:p>
            <w:pPr>
              <w:spacing w:after="40" w:before="40" w:line="240" w:lineRule="auto"/>
            </w:pPr>
            <w:r>
              <w:rPr>
                <w:rFonts w:ascii="Arial" w:hAnsi="Arial"/>
                <w:b w:val="0"/>
                <w:sz w:val="19"/>
              </w:rPr>
              <w:t>Exam 2</w:t>
            </w:r>
          </w:p>
        </w:tc>
        <w:tc>
          <w:tcPr>
            <w:tcW w:type="dxa" w:w="3600"/>
            <w:vAlign w:val="center"/>
            <w:tcMar>
              <w:top w:w="65" w:type="dxa"/>
              <w:bottom w:w="65" w:type="dxa"/>
              <w:left w:w="65" w:type="dxa"/>
              <w:right w:w="65" w:type="dxa"/>
            </w:tcMar>
          </w:tcPr>
          <w:p>
            <w:pPr>
              <w:spacing w:after="40" w:before="40" w:line="240" w:lineRule="auto"/>
            </w:pPr>
            <w:r>
              <w:rPr>
                <w:rFonts w:ascii="Arial" w:hAnsi="Arial"/>
                <w:b w:val="0"/>
                <w:sz w:val="19"/>
              </w:rPr>
              <w:t>Mon Oct 18</w:t>
            </w:r>
          </w:p>
        </w:tc>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Lectures 11–20</w:t>
            </w:r>
          </w:p>
        </w:tc>
      </w:tr>
      <w:tr>
        <w:trPr>
          <w:cantSplit/>
        </w:trPr>
        <w:tc>
          <w:tcPr>
            <w:tcW w:type="dxa" w:w="1152"/>
            <w:vAlign w:val="center"/>
            <w:tcMar>
              <w:top w:w="65" w:type="dxa"/>
              <w:bottom w:w="65" w:type="dxa"/>
              <w:left w:w="65" w:type="dxa"/>
              <w:right w:w="65" w:type="dxa"/>
            </w:tcMar>
          </w:tcPr>
          <w:p>
            <w:pPr>
              <w:spacing w:after="40" w:before="40" w:line="240" w:lineRule="auto"/>
            </w:pPr>
            <w:r>
              <w:rPr>
                <w:rFonts w:ascii="Arial" w:hAnsi="Arial"/>
                <w:b w:val="0"/>
                <w:sz w:val="19"/>
              </w:rPr>
              <w:t>Exam 3</w:t>
            </w:r>
          </w:p>
        </w:tc>
        <w:tc>
          <w:tcPr>
            <w:tcW w:type="dxa" w:w="3600"/>
            <w:vAlign w:val="center"/>
            <w:tcMar>
              <w:top w:w="65" w:type="dxa"/>
              <w:bottom w:w="65" w:type="dxa"/>
              <w:left w:w="65" w:type="dxa"/>
              <w:right w:w="65" w:type="dxa"/>
            </w:tcMar>
          </w:tcPr>
          <w:p>
            <w:pPr>
              <w:spacing w:after="40" w:before="40" w:line="240" w:lineRule="auto"/>
            </w:pPr>
            <w:r>
              <w:rPr>
                <w:rFonts w:ascii="Arial" w:hAnsi="Arial"/>
                <w:b w:val="0"/>
                <w:sz w:val="19"/>
              </w:rPr>
              <w:t>Mon Nov 8</w:t>
            </w:r>
          </w:p>
        </w:tc>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Lectures 21–30</w:t>
            </w:r>
          </w:p>
        </w:tc>
      </w:tr>
      <w:tr>
        <w:trPr>
          <w:cantSplit/>
        </w:trPr>
        <w:tc>
          <w:tcPr>
            <w:tcW w:type="dxa" w:w="1152"/>
            <w:vAlign w:val="center"/>
            <w:tcMar>
              <w:top w:w="65" w:type="dxa"/>
              <w:bottom w:w="65" w:type="dxa"/>
              <w:left w:w="65" w:type="dxa"/>
              <w:right w:w="65" w:type="dxa"/>
            </w:tcMar>
          </w:tcPr>
          <w:p>
            <w:pPr>
              <w:spacing w:after="40" w:before="40" w:line="240" w:lineRule="auto"/>
            </w:pPr>
            <w:r>
              <w:rPr>
                <w:rFonts w:ascii="Arial" w:hAnsi="Arial"/>
                <w:b w:val="0"/>
                <w:sz w:val="19"/>
              </w:rPr>
              <w:t>Exam 4</w:t>
            </w:r>
          </w:p>
        </w:tc>
        <w:tc>
          <w:tcPr>
            <w:tcW w:type="dxa" w:w="3600"/>
            <w:vAlign w:val="center"/>
            <w:tcMar>
              <w:top w:w="65" w:type="dxa"/>
              <w:bottom w:w="65" w:type="dxa"/>
              <w:left w:w="65" w:type="dxa"/>
              <w:right w:w="65" w:type="dxa"/>
            </w:tcMar>
          </w:tcPr>
          <w:p>
            <w:pPr>
              <w:spacing w:after="40" w:before="40" w:line="240" w:lineRule="auto"/>
            </w:pPr>
            <w:r>
              <w:rPr>
                <w:rFonts w:ascii="Arial" w:hAnsi="Arial"/>
                <w:b w:val="0"/>
                <w:sz w:val="19"/>
              </w:rPr>
              <w:t>Assigned appointment, Dec 8–15</w:t>
            </w:r>
          </w:p>
        </w:tc>
        <w:tc>
          <w:tcPr>
            <w:tcW w:type="dxa" w:w="5328"/>
            <w:vAlign w:val="center"/>
            <w:tcMar>
              <w:top w:w="65" w:type="dxa"/>
              <w:bottom w:w="65" w:type="dxa"/>
              <w:left w:w="65" w:type="dxa"/>
              <w:right w:w="65" w:type="dxa"/>
            </w:tcMar>
          </w:tcPr>
          <w:p>
            <w:pPr>
              <w:spacing w:after="40" w:before="40" w:line="240" w:lineRule="auto"/>
            </w:pPr>
            <w:r>
              <w:rPr>
                <w:rFonts w:ascii="Arial" w:hAnsi="Arial"/>
                <w:b w:val="0"/>
                <w:sz w:val="19"/>
              </w:rPr>
              <w:t>Lectures 31–41</w:t>
            </w:r>
          </w:p>
        </w:tc>
      </w:tr>
    </w:tbl>
    <w:p>
      <w:pPr/>
      <w:r>
        <w:rPr>
          <w:b/>
        </w:rPr>
        <w:t>Exam time: ____________________    Room(s): ____________________</w:t>
        <w:br/>
        <w:t>Final exam date/time: ____________________</w:t>
      </w:r>
    </w:p>
    <w:p>
      <w:pPr/>
      <w:r>
        <w:rPr>
          <w:b w:val="0"/>
        </w:rPr>
        <w:t>The first three dates are course planning dates pending confirmation. The fourth exam will use the department/Registrar-approved appointment within the university final-exam period. Do not assume that a regular Monday exam session may be held during December 4–7 study days.</w:t>
      </w:r>
    </w:p>
    <w:p>
      <w:pPr>
        <w:pStyle w:val="Heading3"/>
      </w:pPr>
      <w:r>
        <w:t>Format and Expectations</w:t>
      </w:r>
    </w:p>
    <w:p>
      <w:pPr/>
      <w:r>
        <w:rPr>
          <w:b w:val="0"/>
        </w:rPr>
        <w:t>The proposed paper-exam format is 40 items totaling 120 points: 10 multiple-choice questions at 2 points each, 20 fill-in or brief-answer questions at 2 points each, and 10 short-response or data-interpretation questions at 6 points each. This retains a predominantly written format while fitting introductory material. The final duration and item count will be checked against the assigned exam-session length before the first exam.</w:t>
      </w:r>
    </w:p>
    <w:p>
      <w:pPr/>
      <w:r>
        <w:rPr>
          <w:b w:val="0"/>
        </w:rPr>
        <w:t>Questions are grouped by lecture. They assess definitions in context, mechanisms, specific experiments, interpretation of results, and comparisons between explanations. Approximately 40% of points address concepts directly and 60% address research or experimental reasoning. Explain the relevant evidence rather than reproduce slide text. Versions may reorder questions and answer choices; assigned rooms or versions will be posted before an exam.</w:t>
      </w:r>
    </w:p>
    <w:p>
      <w:pPr/>
      <w:r>
        <w:rPr>
          <w:b w:val="0"/>
        </w:rPr>
        <w:t>Bring photo identification and a pencil. Exams are closed-note unless a class-wide alternative is announced before Exam 1. Phones, smartwatches, and unauthorized materials are not permitted. Any authorized reference sheet must follow the announced class-wide conditions; accommodations are implemented through the approved process.</w:t>
      </w:r>
    </w:p>
    <w:p>
      <w:pPr>
        <w:pStyle w:val="Heading3"/>
      </w:pPr>
      <w:r>
        <w:t>Missed Exams</w:t>
      </w:r>
    </w:p>
    <w:p>
      <w:pPr/>
      <w:r>
        <w:rPr>
          <w:b w:val="0"/>
        </w:rPr>
        <w:t>Under the model syllabus’s proposed policy, one approved documented medical or official absence may be handled by replacing the missed exam score with the average of the other three exam scores. An unapproved absence receives zero. Contact the instructor promptly; additional absences, approved accommodations, religious observance, and university-required alternatives are handled individually under applicable policy. This rule does not authorize students to choose an exam to skip.</w:t>
      </w:r>
    </w:p>
    <w:p>
      <w:r>
        <w:br w:type="page"/>
      </w:r>
    </w:p>
    <w:p>
      <w:pPr>
        <w:pStyle w:val="Heading2"/>
      </w:pPr>
      <w:r>
        <w:t>Psychological Evidence Project (20% of Lecture Grade)</w:t>
      </w:r>
    </w:p>
    <w:p>
      <w:pPr/>
      <w:r>
        <w:rPr>
          <w:b w:val="0"/>
        </w:rPr>
        <w:t>Choose a focused psychological question covered in the course and complete one individual project. The aim is to explain and evaluate evidence at an introductory level. Advanced coding, a neural simulation, or a ten-page literature review is not required. Choose one of the two routes below; both are graded with the same 120-point rubric.</w:t>
      </w:r>
    </w:p>
    <w:p>
      <w:pPr>
        <w:pStyle w:val="Heading3"/>
      </w:pPr>
      <w:r>
        <w:t>Option A: Explain and Reanalyze a Finding</w:t>
      </w:r>
    </w:p>
    <w:p>
      <w:pPr/>
      <w:r>
        <w:rPr>
          <w:b w:val="0"/>
        </w:rPr>
        <w:t>Use an instructor-approved, deidentified public dataset or a provided dataset to examine a psychological claim. State the question and prediction, reproduce a meaningful comparison, create an accurate figure from the actual data, and explain what the result permits you to conclude. Submit the editable spreadsheet or analysis file, a 4–6-page APA-style report, and a five-minute recorded explanation. Include at least four primary studies that place the finding in context.</w:t>
      </w:r>
    </w:p>
    <w:p>
      <w:pPr>
        <w:pStyle w:val="Heading3"/>
      </w:pPr>
      <w:r>
        <w:t>Option B: Evaluate a Psychological Claim</w:t>
      </w:r>
    </w:p>
    <w:p>
      <w:pPr/>
      <w:r>
        <w:rPr>
          <w:b w:val="0"/>
        </w:rPr>
        <w:t>Write a 4–6-page APA-style evidence paper explaining a focused claim and comparing at least five primary studies. Explain what researchers did, what they found, how the studies agree or differ, and which conclusion is best supported. End with a feasible follow-up experiment. Submit a five-minute recorded explanation. A sequence of unrelated article summaries is insufficient.</w:t>
      </w:r>
    </w:p>
    <w:p>
      <w:pPr/>
      <w:r>
        <w:rPr>
          <w:b w:val="0"/>
        </w:rPr>
        <w:t>For either route, at least half of the primary studies must have been published from 2000 onward, including at least one from 2020 onward. Round up when needed: at least two of four or three of five. Use sources you can access and verify. Page limits exclude title page, figures, and references. Do not collect new participant data for this project.</w:t>
      </w:r>
    </w:p>
    <w:p>
      <w:pPr>
        <w:pStyle w:val="Heading3"/>
      </w:pPr>
      <w:r>
        <w:t>Project Milestones</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488"/>
        <w:gridCol w:w="2592"/>
      </w:tblGrid>
      <w:tr>
        <w:trPr>
          <w:cantSplit/>
          <w:tblHeader/>
        </w:trPr>
        <w:tc>
          <w:tcPr>
            <w:tcW w:type="dxa" w:w="7488"/>
            <w:vAlign w:val="center"/>
            <w:shd w:fill="E8E8E8"/>
            <w:tcMar>
              <w:top w:w="65" w:type="dxa"/>
              <w:bottom w:w="65" w:type="dxa"/>
              <w:left w:w="65" w:type="dxa"/>
              <w:right w:w="65" w:type="dxa"/>
            </w:tcMar>
          </w:tcPr>
          <w:p>
            <w:pPr>
              <w:spacing w:after="40" w:before="40" w:line="240" w:lineRule="auto"/>
            </w:pPr>
            <w:r>
              <w:rPr>
                <w:rFonts w:ascii="Arial" w:hAnsi="Arial"/>
                <w:b/>
                <w:sz w:val="19"/>
              </w:rPr>
              <w:t>Milestone</w:t>
            </w:r>
          </w:p>
        </w:tc>
        <w:tc>
          <w:tcPr>
            <w:tcW w:type="dxa" w:w="2592"/>
            <w:vAlign w:val="center"/>
            <w:shd w:fill="E8E8E8"/>
            <w:tcMar>
              <w:top w:w="65" w:type="dxa"/>
              <w:bottom w:w="65" w:type="dxa"/>
              <w:left w:w="65" w:type="dxa"/>
              <w:right w:w="65" w:type="dxa"/>
            </w:tcMar>
          </w:tcPr>
          <w:p>
            <w:pPr>
              <w:spacing w:after="40" w:before="40" w:line="240" w:lineRule="auto"/>
            </w:pPr>
            <w:r>
              <w:rPr>
                <w:rFonts w:ascii="Arial" w:hAnsi="Arial"/>
                <w:b/>
                <w:sz w:val="19"/>
              </w:rPr>
              <w:t>Due, 11:59 p.m.</w:t>
            </w:r>
          </w:p>
        </w:tc>
      </w:tr>
      <w:tr>
        <w:trPr>
          <w:cantSplit/>
        </w:trPr>
        <w:tc>
          <w:tcPr>
            <w:tcW w:type="dxa" w:w="7488"/>
            <w:vAlign w:val="center"/>
            <w:tcMar>
              <w:top w:w="65" w:type="dxa"/>
              <w:bottom w:w="65" w:type="dxa"/>
              <w:left w:w="65" w:type="dxa"/>
              <w:right w:w="65" w:type="dxa"/>
            </w:tcMar>
          </w:tcPr>
          <w:p>
            <w:pPr>
              <w:spacing w:after="40" w:before="40" w:line="240" w:lineRule="auto"/>
            </w:pPr>
            <w:r>
              <w:rPr>
                <w:rFonts w:ascii="Arial" w:hAnsi="Arial"/>
                <w:b w:val="0"/>
                <w:sz w:val="19"/>
              </w:rPr>
              <w:t>Proposal: route, focused question, initial sources, and dataset if applicable; one page</w:t>
            </w:r>
          </w:p>
        </w:tc>
        <w:tc>
          <w:tcPr>
            <w:tcW w:type="dxa" w:w="2592"/>
            <w:vAlign w:val="center"/>
            <w:tcMar>
              <w:top w:w="65" w:type="dxa"/>
              <w:bottom w:w="65" w:type="dxa"/>
              <w:left w:w="65" w:type="dxa"/>
              <w:right w:w="65" w:type="dxa"/>
            </w:tcMar>
          </w:tcPr>
          <w:p>
            <w:pPr>
              <w:spacing w:after="40" w:before="40" w:line="240" w:lineRule="auto"/>
            </w:pPr>
            <w:r>
              <w:rPr>
                <w:rFonts w:ascii="Arial" w:hAnsi="Arial"/>
                <w:b w:val="0"/>
                <w:sz w:val="19"/>
              </w:rPr>
              <w:t>Fri Sep 24</w:t>
            </w:r>
          </w:p>
        </w:tc>
      </w:tr>
      <w:tr>
        <w:trPr>
          <w:cantSplit/>
        </w:trPr>
        <w:tc>
          <w:tcPr>
            <w:tcW w:type="dxa" w:w="7488"/>
            <w:vAlign w:val="center"/>
            <w:tcMar>
              <w:top w:w="65" w:type="dxa"/>
              <w:bottom w:w="65" w:type="dxa"/>
              <w:left w:w="65" w:type="dxa"/>
              <w:right w:w="65" w:type="dxa"/>
            </w:tcMar>
          </w:tcPr>
          <w:p>
            <w:pPr>
              <w:spacing w:after="40" w:before="40" w:line="240" w:lineRule="auto"/>
            </w:pPr>
            <w:r>
              <w:rPr>
                <w:rFonts w:ascii="Arial" w:hAnsi="Arial"/>
                <w:b w:val="0"/>
                <w:sz w:val="19"/>
              </w:rPr>
              <w:t>Progress check: argument outline or preliminary analysis, one original source figure or authentic-data figure, and source list</w:t>
            </w:r>
          </w:p>
        </w:tc>
        <w:tc>
          <w:tcPr>
            <w:tcW w:type="dxa" w:w="2592"/>
            <w:vAlign w:val="center"/>
            <w:tcMar>
              <w:top w:w="65" w:type="dxa"/>
              <w:bottom w:w="65" w:type="dxa"/>
              <w:left w:w="65" w:type="dxa"/>
              <w:right w:w="65" w:type="dxa"/>
            </w:tcMar>
          </w:tcPr>
          <w:p>
            <w:pPr>
              <w:spacing w:after="40" w:before="40" w:line="240" w:lineRule="auto"/>
            </w:pPr>
            <w:r>
              <w:rPr>
                <w:rFonts w:ascii="Arial" w:hAnsi="Arial"/>
                <w:b w:val="0"/>
                <w:sz w:val="19"/>
              </w:rPr>
              <w:t>Fri Oct 22</w:t>
            </w:r>
          </w:p>
        </w:tc>
      </w:tr>
      <w:tr>
        <w:trPr>
          <w:cantSplit/>
        </w:trPr>
        <w:tc>
          <w:tcPr>
            <w:tcW w:type="dxa" w:w="7488"/>
            <w:vAlign w:val="center"/>
            <w:tcMar>
              <w:top w:w="65" w:type="dxa"/>
              <w:bottom w:w="65" w:type="dxa"/>
              <w:left w:w="65" w:type="dxa"/>
              <w:right w:w="65" w:type="dxa"/>
            </w:tcMar>
          </w:tcPr>
          <w:p>
            <w:pPr>
              <w:spacing w:after="40" w:before="40" w:line="240" w:lineRule="auto"/>
            </w:pPr>
            <w:r>
              <w:rPr>
                <w:rFonts w:ascii="Arial" w:hAnsi="Arial"/>
                <w:b w:val="0"/>
                <w:sz w:val="19"/>
              </w:rPr>
              <w:t>Final report, editable analysis if applicable, and recorded explanation</w:t>
            </w:r>
          </w:p>
        </w:tc>
        <w:tc>
          <w:tcPr>
            <w:tcW w:type="dxa" w:w="2592"/>
            <w:vAlign w:val="center"/>
            <w:tcMar>
              <w:top w:w="65" w:type="dxa"/>
              <w:bottom w:w="65" w:type="dxa"/>
              <w:left w:w="65" w:type="dxa"/>
              <w:right w:w="65" w:type="dxa"/>
            </w:tcMar>
          </w:tcPr>
          <w:p>
            <w:pPr>
              <w:spacing w:after="40" w:before="40" w:line="240" w:lineRule="auto"/>
            </w:pPr>
            <w:r>
              <w:rPr>
                <w:rFonts w:ascii="Arial" w:hAnsi="Arial"/>
                <w:b w:val="0"/>
                <w:sz w:val="19"/>
              </w:rPr>
              <w:t>Fri Nov 19</w:t>
            </w:r>
          </w:p>
        </w:tc>
      </w:tr>
    </w:tbl>
    <w:p>
      <w:pPr>
        <w:pStyle w:val="Heading3"/>
      </w:pPr>
      <w:r>
        <w:t>Project Rubric (120 points)</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8208"/>
        <w:gridCol w:w="1872"/>
      </w:tblGrid>
      <w:tr>
        <w:trPr>
          <w:cantSplit/>
          <w:tblHeader/>
        </w:trPr>
        <w:tc>
          <w:tcPr>
            <w:tcW w:type="dxa" w:w="8208"/>
            <w:vAlign w:val="center"/>
            <w:shd w:fill="E8E8E8"/>
            <w:tcMar>
              <w:top w:w="65" w:type="dxa"/>
              <w:bottom w:w="65" w:type="dxa"/>
              <w:left w:w="65" w:type="dxa"/>
              <w:right w:w="65" w:type="dxa"/>
            </w:tcMar>
          </w:tcPr>
          <w:p>
            <w:pPr>
              <w:spacing w:after="40" w:before="40" w:line="240" w:lineRule="auto"/>
            </w:pPr>
            <w:r>
              <w:rPr>
                <w:rFonts w:ascii="Arial" w:hAnsi="Arial"/>
                <w:b/>
                <w:sz w:val="19"/>
              </w:rPr>
              <w:t>Criterion</w:t>
            </w:r>
          </w:p>
        </w:tc>
        <w:tc>
          <w:tcPr>
            <w:tcW w:type="dxa" w:w="1872"/>
            <w:vAlign w:val="center"/>
            <w:shd w:fill="E8E8E8"/>
            <w:tcMar>
              <w:top w:w="65" w:type="dxa"/>
              <w:bottom w:w="65" w:type="dxa"/>
              <w:left w:w="65" w:type="dxa"/>
              <w:right w:w="65" w:type="dxa"/>
            </w:tcMar>
          </w:tcPr>
          <w:p>
            <w:pPr>
              <w:spacing w:after="40" w:before="40" w:line="240" w:lineRule="auto"/>
            </w:pPr>
            <w:r>
              <w:rPr>
                <w:rFonts w:ascii="Arial" w:hAnsi="Arial"/>
                <w:b/>
                <w:sz w:val="19"/>
              </w:rPr>
              <w:t>Points</w:t>
            </w:r>
          </w:p>
        </w:tc>
      </w:tr>
      <w:tr>
        <w:trPr>
          <w:cantSplit/>
        </w:trPr>
        <w:tc>
          <w:tcPr>
            <w:tcW w:type="dxa" w:w="8208"/>
            <w:vAlign w:val="center"/>
            <w:tcMar>
              <w:top w:w="65" w:type="dxa"/>
              <w:bottom w:w="65" w:type="dxa"/>
              <w:left w:w="65" w:type="dxa"/>
              <w:right w:w="65" w:type="dxa"/>
            </w:tcMar>
          </w:tcPr>
          <w:p>
            <w:pPr>
              <w:spacing w:after="40" w:before="40" w:line="240" w:lineRule="auto"/>
            </w:pPr>
            <w:r>
              <w:rPr>
                <w:rFonts w:ascii="Arial" w:hAnsi="Arial"/>
                <w:b w:val="0"/>
                <w:sz w:val="19"/>
              </w:rPr>
              <w:t>Focused question and accurate introductory concepts</w:t>
            </w:r>
          </w:p>
        </w:tc>
        <w:tc>
          <w:tcPr>
            <w:tcW w:type="dxa" w:w="1872"/>
            <w:vAlign w:val="center"/>
            <w:tcMar>
              <w:top w:w="65" w:type="dxa"/>
              <w:bottom w:w="65" w:type="dxa"/>
              <w:left w:w="65" w:type="dxa"/>
              <w:right w:w="65" w:type="dxa"/>
            </w:tcMar>
          </w:tcPr>
          <w:p>
            <w:pPr>
              <w:spacing w:after="40" w:before="40" w:line="240" w:lineRule="auto"/>
            </w:pPr>
            <w:r>
              <w:rPr>
                <w:rFonts w:ascii="Arial" w:hAnsi="Arial"/>
                <w:b w:val="0"/>
                <w:sz w:val="19"/>
              </w:rPr>
              <w:t>20</w:t>
            </w:r>
          </w:p>
        </w:tc>
      </w:tr>
      <w:tr>
        <w:trPr>
          <w:cantSplit/>
        </w:trPr>
        <w:tc>
          <w:tcPr>
            <w:tcW w:type="dxa" w:w="8208"/>
            <w:vAlign w:val="center"/>
            <w:tcMar>
              <w:top w:w="65" w:type="dxa"/>
              <w:bottom w:w="65" w:type="dxa"/>
              <w:left w:w="65" w:type="dxa"/>
              <w:right w:w="65" w:type="dxa"/>
            </w:tcMar>
          </w:tcPr>
          <w:p>
            <w:pPr>
              <w:spacing w:after="40" w:before="40" w:line="240" w:lineRule="auto"/>
            </w:pPr>
            <w:r>
              <w:rPr>
                <w:rFonts w:ascii="Arial" w:hAnsi="Arial"/>
                <w:b w:val="0"/>
                <w:sz w:val="19"/>
              </w:rPr>
              <w:t>Explanation and comparison of primary evidence</w:t>
            </w:r>
          </w:p>
        </w:tc>
        <w:tc>
          <w:tcPr>
            <w:tcW w:type="dxa" w:w="1872"/>
            <w:vAlign w:val="center"/>
            <w:tcMar>
              <w:top w:w="65" w:type="dxa"/>
              <w:bottom w:w="65" w:type="dxa"/>
              <w:left w:w="65" w:type="dxa"/>
              <w:right w:w="65" w:type="dxa"/>
            </w:tcMar>
          </w:tcPr>
          <w:p>
            <w:pPr>
              <w:spacing w:after="40" w:before="40" w:line="240" w:lineRule="auto"/>
            </w:pPr>
            <w:r>
              <w:rPr>
                <w:rFonts w:ascii="Arial" w:hAnsi="Arial"/>
                <w:b w:val="0"/>
                <w:sz w:val="19"/>
              </w:rPr>
              <w:t>35</w:t>
            </w:r>
          </w:p>
        </w:tc>
      </w:tr>
      <w:tr>
        <w:trPr>
          <w:cantSplit/>
        </w:trPr>
        <w:tc>
          <w:tcPr>
            <w:tcW w:type="dxa" w:w="8208"/>
            <w:vAlign w:val="center"/>
            <w:tcMar>
              <w:top w:w="65" w:type="dxa"/>
              <w:bottom w:w="65" w:type="dxa"/>
              <w:left w:w="65" w:type="dxa"/>
              <w:right w:w="65" w:type="dxa"/>
            </w:tcMar>
          </w:tcPr>
          <w:p>
            <w:pPr>
              <w:spacing w:after="40" w:before="40" w:line="240" w:lineRule="auto"/>
            </w:pPr>
            <w:r>
              <w:rPr>
                <w:rFonts w:ascii="Arial" w:hAnsi="Arial"/>
                <w:b w:val="0"/>
                <w:sz w:val="19"/>
              </w:rPr>
              <w:t>Quality of analysis or synthesis and reasoning</w:t>
            </w:r>
          </w:p>
        </w:tc>
        <w:tc>
          <w:tcPr>
            <w:tcW w:type="dxa" w:w="1872"/>
            <w:vAlign w:val="center"/>
            <w:tcMar>
              <w:top w:w="65" w:type="dxa"/>
              <w:bottom w:w="65" w:type="dxa"/>
              <w:left w:w="65" w:type="dxa"/>
              <w:right w:w="65" w:type="dxa"/>
            </w:tcMar>
          </w:tcPr>
          <w:p>
            <w:pPr>
              <w:spacing w:after="40" w:before="40" w:line="240" w:lineRule="auto"/>
            </w:pPr>
            <w:r>
              <w:rPr>
                <w:rFonts w:ascii="Arial" w:hAnsi="Arial"/>
                <w:b w:val="0"/>
                <w:sz w:val="19"/>
              </w:rPr>
              <w:t>30</w:t>
            </w:r>
          </w:p>
        </w:tc>
      </w:tr>
      <w:tr>
        <w:trPr>
          <w:cantSplit/>
        </w:trPr>
        <w:tc>
          <w:tcPr>
            <w:tcW w:type="dxa" w:w="8208"/>
            <w:vAlign w:val="center"/>
            <w:tcMar>
              <w:top w:w="65" w:type="dxa"/>
              <w:bottom w:w="65" w:type="dxa"/>
              <w:left w:w="65" w:type="dxa"/>
              <w:right w:w="65" w:type="dxa"/>
            </w:tcMar>
          </w:tcPr>
          <w:p>
            <w:pPr>
              <w:spacing w:after="40" w:before="40" w:line="240" w:lineRule="auto"/>
            </w:pPr>
            <w:r>
              <w:rPr>
                <w:rFonts w:ascii="Arial" w:hAnsi="Arial"/>
                <w:b w:val="0"/>
                <w:sz w:val="19"/>
              </w:rPr>
              <w:t>Source verification, citations, and transparent methods</w:t>
            </w:r>
          </w:p>
        </w:tc>
        <w:tc>
          <w:tcPr>
            <w:tcW w:type="dxa" w:w="1872"/>
            <w:vAlign w:val="center"/>
            <w:tcMar>
              <w:top w:w="65" w:type="dxa"/>
              <w:bottom w:w="65" w:type="dxa"/>
              <w:left w:w="65" w:type="dxa"/>
              <w:right w:w="65" w:type="dxa"/>
            </w:tcMar>
          </w:tcPr>
          <w:p>
            <w:pPr>
              <w:spacing w:after="40" w:before="40" w:line="240" w:lineRule="auto"/>
            </w:pPr>
            <w:r>
              <w:rPr>
                <w:rFonts w:ascii="Arial" w:hAnsi="Arial"/>
                <w:b w:val="0"/>
                <w:sz w:val="19"/>
              </w:rPr>
              <w:t>20</w:t>
            </w:r>
          </w:p>
        </w:tc>
      </w:tr>
      <w:tr>
        <w:trPr>
          <w:cantSplit/>
        </w:trPr>
        <w:tc>
          <w:tcPr>
            <w:tcW w:type="dxa" w:w="8208"/>
            <w:vAlign w:val="center"/>
            <w:tcMar>
              <w:top w:w="65" w:type="dxa"/>
              <w:bottom w:w="65" w:type="dxa"/>
              <w:left w:w="65" w:type="dxa"/>
              <w:right w:w="65" w:type="dxa"/>
            </w:tcMar>
          </w:tcPr>
          <w:p>
            <w:pPr>
              <w:spacing w:after="40" w:before="40" w:line="240" w:lineRule="auto"/>
            </w:pPr>
            <w:r>
              <w:rPr>
                <w:rFonts w:ascii="Arial" w:hAnsi="Arial"/>
                <w:b w:val="0"/>
                <w:sz w:val="19"/>
              </w:rPr>
              <w:t>Clear writing and recorded explanation</w:t>
            </w:r>
          </w:p>
        </w:tc>
        <w:tc>
          <w:tcPr>
            <w:tcW w:type="dxa" w:w="1872"/>
            <w:vAlign w:val="center"/>
            <w:tcMar>
              <w:top w:w="65" w:type="dxa"/>
              <w:bottom w:w="65" w:type="dxa"/>
              <w:left w:w="65" w:type="dxa"/>
              <w:right w:w="65" w:type="dxa"/>
            </w:tcMar>
          </w:tcPr>
          <w:p>
            <w:pPr>
              <w:spacing w:after="40" w:before="40" w:line="240" w:lineRule="auto"/>
            </w:pPr>
            <w:r>
              <w:rPr>
                <w:rFonts w:ascii="Arial" w:hAnsi="Arial"/>
                <w:b w:val="0"/>
                <w:sz w:val="19"/>
              </w:rPr>
              <w:t>15</w:t>
            </w:r>
          </w:p>
        </w:tc>
      </w:tr>
    </w:tbl>
    <w:p>
      <w:r>
        <w:br w:type="page"/>
      </w:r>
    </w:p>
    <w:p>
      <w:pPr>
        <w:pStyle w:val="Heading2"/>
      </w:pPr>
      <w:r>
        <w:t>Laboratory Component</w:t>
      </w:r>
    </w:p>
    <w:p>
      <w:pPr/>
      <w:r>
        <w:rPr>
          <w:b w:val="0"/>
        </w:rPr>
        <w:t>Laboratories begin in Week 1, August 23–27. Your first lab conducts a reaction-time experiment; brief procedures, consent/participation options, and data-handling instruction are taught as part of that session. Come ready to work. Lab meetings include a question, experimental or analytic task, data, and an evidence-based conclusion.</w:t>
      </w:r>
    </w:p>
    <w:p>
      <w:pPr>
        <w:pStyle w:val="Heading3"/>
      </w:pPr>
      <w:r>
        <w:t>Lab Reports: Best 8 of 10 (60% of Lab Grade)</w:t>
      </w:r>
    </w:p>
    <w:p>
      <w:pPr/>
      <w:r>
        <w:rPr>
          <w:b w:val="0"/>
        </w:rPr>
        <w:t>Ten reports are offered and the lowest two report scores are dropped. Each retained report contributes 7.5% of the lab grade. Lab 1 uses a guided 2–3-page report; later reports are normally 3–4 pages, excluding figures and references. Templates and feedback teach the format progressively. The drop policy applies to reports, not automatically to attendance, methods assignments, or the mini-replication.</w:t>
      </w:r>
    </w:p>
    <w:p>
      <w:pPr/>
      <w:r>
        <w:rPr>
          <w:b w:val="0"/>
        </w:rPr>
        <w:t>Use Question and Prediction, Methods, Results, Discussion, and References. Include an accurately labeled figure, explain the relevant comparison, and distinguish an observed association from a causal claim. Use the analysis taught for the task; do not add an unjustified significance test to every claim. Report genuine results even when the prediction is not supported. Submit an editable analysis file or worksheet with the report.</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920"/>
        <w:gridCol w:w="2160"/>
      </w:tblGrid>
      <w:tr>
        <w:trPr>
          <w:cantSplit/>
          <w:tblHeader/>
        </w:trPr>
        <w:tc>
          <w:tcPr>
            <w:tcW w:type="dxa" w:w="7920"/>
            <w:vAlign w:val="center"/>
            <w:shd w:fill="E8E8E8"/>
            <w:tcMar>
              <w:top w:w="65" w:type="dxa"/>
              <w:bottom w:w="65" w:type="dxa"/>
              <w:left w:w="65" w:type="dxa"/>
              <w:right w:w="65" w:type="dxa"/>
            </w:tcMar>
          </w:tcPr>
          <w:p>
            <w:pPr>
              <w:spacing w:after="40" w:before="40" w:line="240" w:lineRule="auto"/>
            </w:pPr>
            <w:r>
              <w:rPr>
                <w:rFonts w:ascii="Arial" w:hAnsi="Arial"/>
                <w:b/>
                <w:sz w:val="19"/>
              </w:rPr>
              <w:t>Report Criterion</w:t>
            </w:r>
          </w:p>
        </w:tc>
        <w:tc>
          <w:tcPr>
            <w:tcW w:type="dxa" w:w="2160"/>
            <w:vAlign w:val="center"/>
            <w:shd w:fill="E8E8E8"/>
            <w:tcMar>
              <w:top w:w="65" w:type="dxa"/>
              <w:bottom w:w="65" w:type="dxa"/>
              <w:left w:w="65" w:type="dxa"/>
              <w:right w:w="65" w:type="dxa"/>
            </w:tcMar>
          </w:tcPr>
          <w:p>
            <w:pPr>
              <w:spacing w:after="40" w:before="40" w:line="240" w:lineRule="auto"/>
            </w:pPr>
            <w:r>
              <w:rPr>
                <w:rFonts w:ascii="Arial" w:hAnsi="Arial"/>
                <w:b/>
                <w:sz w:val="19"/>
              </w:rPr>
              <w:t>Points per Report</w:t>
            </w:r>
          </w:p>
        </w:tc>
      </w:tr>
      <w:tr>
        <w:trPr>
          <w:cantSplit/>
        </w:trPr>
        <w:tc>
          <w:tcPr>
            <w:tcW w:type="dxa" w:w="7920"/>
            <w:vAlign w:val="center"/>
            <w:tcMar>
              <w:top w:w="65" w:type="dxa"/>
              <w:bottom w:w="65" w:type="dxa"/>
              <w:left w:w="65" w:type="dxa"/>
              <w:right w:w="65" w:type="dxa"/>
            </w:tcMar>
          </w:tcPr>
          <w:p>
            <w:pPr>
              <w:spacing w:after="40" w:before="40" w:line="240" w:lineRule="auto"/>
            </w:pPr>
            <w:r>
              <w:rPr>
                <w:rFonts w:ascii="Arial" w:hAnsi="Arial"/>
                <w:b w:val="0"/>
                <w:sz w:val="19"/>
              </w:rPr>
              <w:t>Question, prediction, and relevant concept</w:t>
            </w:r>
          </w:p>
        </w:tc>
        <w:tc>
          <w:tcPr>
            <w:tcW w:type="dxa" w:w="2160"/>
            <w:vAlign w:val="center"/>
            <w:tcMar>
              <w:top w:w="65" w:type="dxa"/>
              <w:bottom w:w="65" w:type="dxa"/>
              <w:left w:w="65" w:type="dxa"/>
              <w:right w:w="65" w:type="dxa"/>
            </w:tcMar>
          </w:tcPr>
          <w:p>
            <w:pPr>
              <w:spacing w:after="40" w:before="40" w:line="240" w:lineRule="auto"/>
            </w:pPr>
            <w:r>
              <w:rPr>
                <w:rFonts w:ascii="Arial" w:hAnsi="Arial"/>
                <w:b w:val="0"/>
                <w:sz w:val="19"/>
              </w:rPr>
              <w:t>15</w:t>
            </w:r>
          </w:p>
        </w:tc>
      </w:tr>
      <w:tr>
        <w:trPr>
          <w:cantSplit/>
        </w:trPr>
        <w:tc>
          <w:tcPr>
            <w:tcW w:type="dxa" w:w="7920"/>
            <w:vAlign w:val="center"/>
            <w:tcMar>
              <w:top w:w="65" w:type="dxa"/>
              <w:bottom w:w="65" w:type="dxa"/>
              <w:left w:w="65" w:type="dxa"/>
              <w:right w:w="65" w:type="dxa"/>
            </w:tcMar>
          </w:tcPr>
          <w:p>
            <w:pPr>
              <w:spacing w:after="40" w:before="40" w:line="240" w:lineRule="auto"/>
            </w:pPr>
            <w:r>
              <w:rPr>
                <w:rFonts w:ascii="Arial" w:hAnsi="Arial"/>
                <w:b w:val="0"/>
                <w:sz w:val="19"/>
              </w:rPr>
              <w:t>Clear methods and design reasoning</w:t>
            </w:r>
          </w:p>
        </w:tc>
        <w:tc>
          <w:tcPr>
            <w:tcW w:type="dxa" w:w="2160"/>
            <w:vAlign w:val="center"/>
            <w:tcMar>
              <w:top w:w="65" w:type="dxa"/>
              <w:bottom w:w="65" w:type="dxa"/>
              <w:left w:w="65" w:type="dxa"/>
              <w:right w:w="65" w:type="dxa"/>
            </w:tcMar>
          </w:tcPr>
          <w:p>
            <w:pPr>
              <w:spacing w:after="40" w:before="40" w:line="240" w:lineRule="auto"/>
            </w:pPr>
            <w:r>
              <w:rPr>
                <w:rFonts w:ascii="Arial" w:hAnsi="Arial"/>
                <w:b w:val="0"/>
                <w:sz w:val="19"/>
              </w:rPr>
              <w:t>20</w:t>
            </w:r>
          </w:p>
        </w:tc>
      </w:tr>
      <w:tr>
        <w:trPr>
          <w:cantSplit/>
        </w:trPr>
        <w:tc>
          <w:tcPr>
            <w:tcW w:type="dxa" w:w="7920"/>
            <w:vAlign w:val="center"/>
            <w:tcMar>
              <w:top w:w="65" w:type="dxa"/>
              <w:bottom w:w="65" w:type="dxa"/>
              <w:left w:w="65" w:type="dxa"/>
              <w:right w:w="65" w:type="dxa"/>
            </w:tcMar>
          </w:tcPr>
          <w:p>
            <w:pPr>
              <w:spacing w:after="40" w:before="40" w:line="240" w:lineRule="auto"/>
            </w:pPr>
            <w:r>
              <w:rPr>
                <w:rFonts w:ascii="Arial" w:hAnsi="Arial"/>
                <w:b w:val="0"/>
                <w:sz w:val="19"/>
              </w:rPr>
              <w:t>Accurate data handling, figure, and comparison</w:t>
            </w:r>
          </w:p>
        </w:tc>
        <w:tc>
          <w:tcPr>
            <w:tcW w:type="dxa" w:w="2160"/>
            <w:vAlign w:val="center"/>
            <w:tcMar>
              <w:top w:w="65" w:type="dxa"/>
              <w:bottom w:w="65" w:type="dxa"/>
              <w:left w:w="65" w:type="dxa"/>
              <w:right w:w="65" w:type="dxa"/>
            </w:tcMar>
          </w:tcPr>
          <w:p>
            <w:pPr>
              <w:spacing w:after="40" w:before="40" w:line="240" w:lineRule="auto"/>
            </w:pPr>
            <w:r>
              <w:rPr>
                <w:rFonts w:ascii="Arial" w:hAnsi="Arial"/>
                <w:b w:val="0"/>
                <w:sz w:val="19"/>
              </w:rPr>
              <w:t>30</w:t>
            </w:r>
          </w:p>
        </w:tc>
      </w:tr>
      <w:tr>
        <w:trPr>
          <w:cantSplit/>
        </w:trPr>
        <w:tc>
          <w:tcPr>
            <w:tcW w:type="dxa" w:w="7920"/>
            <w:vAlign w:val="center"/>
            <w:tcMar>
              <w:top w:w="65" w:type="dxa"/>
              <w:bottom w:w="65" w:type="dxa"/>
              <w:left w:w="65" w:type="dxa"/>
              <w:right w:w="65" w:type="dxa"/>
            </w:tcMar>
          </w:tcPr>
          <w:p>
            <w:pPr>
              <w:spacing w:after="40" w:before="40" w:line="240" w:lineRule="auto"/>
            </w:pPr>
            <w:r>
              <w:rPr>
                <w:rFonts w:ascii="Arial" w:hAnsi="Arial"/>
                <w:b w:val="0"/>
                <w:sz w:val="19"/>
              </w:rPr>
              <w:t>Evidence-based interpretation and limitations</w:t>
            </w:r>
          </w:p>
        </w:tc>
        <w:tc>
          <w:tcPr>
            <w:tcW w:type="dxa" w:w="2160"/>
            <w:vAlign w:val="center"/>
            <w:tcMar>
              <w:top w:w="65" w:type="dxa"/>
              <w:bottom w:w="65" w:type="dxa"/>
              <w:left w:w="65" w:type="dxa"/>
              <w:right w:w="65" w:type="dxa"/>
            </w:tcMar>
          </w:tcPr>
          <w:p>
            <w:pPr>
              <w:spacing w:after="40" w:before="40" w:line="240" w:lineRule="auto"/>
            </w:pPr>
            <w:r>
              <w:rPr>
                <w:rFonts w:ascii="Arial" w:hAnsi="Arial"/>
                <w:b w:val="0"/>
                <w:sz w:val="19"/>
              </w:rPr>
              <w:t>25</w:t>
            </w:r>
          </w:p>
        </w:tc>
      </w:tr>
      <w:tr>
        <w:trPr>
          <w:cantSplit/>
        </w:trPr>
        <w:tc>
          <w:tcPr>
            <w:tcW w:type="dxa" w:w="7920"/>
            <w:vAlign w:val="center"/>
            <w:tcMar>
              <w:top w:w="65" w:type="dxa"/>
              <w:bottom w:w="65" w:type="dxa"/>
              <w:left w:w="65" w:type="dxa"/>
              <w:right w:w="65" w:type="dxa"/>
            </w:tcMar>
          </w:tcPr>
          <w:p>
            <w:pPr>
              <w:spacing w:after="40" w:before="40" w:line="240" w:lineRule="auto"/>
            </w:pPr>
            <w:r>
              <w:rPr>
                <w:rFonts w:ascii="Arial" w:hAnsi="Arial"/>
                <w:b w:val="0"/>
                <w:sz w:val="19"/>
              </w:rPr>
              <w:t>Clarity, references, and reproducible files</w:t>
            </w:r>
          </w:p>
        </w:tc>
        <w:tc>
          <w:tcPr>
            <w:tcW w:type="dxa" w:w="2160"/>
            <w:vAlign w:val="center"/>
            <w:tcMar>
              <w:top w:w="65" w:type="dxa"/>
              <w:bottom w:w="65" w:type="dxa"/>
              <w:left w:w="65" w:type="dxa"/>
              <w:right w:w="65" w:type="dxa"/>
            </w:tcMar>
          </w:tcPr>
          <w:p>
            <w:pPr>
              <w:spacing w:after="40" w:before="40" w:line="240" w:lineRule="auto"/>
            </w:pPr>
            <w:r>
              <w:rPr>
                <w:rFonts w:ascii="Arial" w:hAnsi="Arial"/>
                <w:b w:val="0"/>
                <w:sz w:val="19"/>
              </w:rPr>
              <w:t>10</w:t>
            </w:r>
          </w:p>
        </w:tc>
      </w:tr>
    </w:tbl>
    <w:p>
      <w:pPr>
        <w:pStyle w:val="Heading3"/>
      </w:pPr>
      <w:r>
        <w:t>Attendance and Participation (10%)</w:t>
      </w:r>
    </w:p>
    <w:p>
      <w:pPr/>
      <w:r>
        <w:rPr>
          <w:b w:val="0"/>
        </w:rPr>
        <w:t>Participate in every scheduled laboratory or an approved equivalent. Submit the session’s data/checkpoint and a brief exit response through the course site before leaving. An approved asynchronous equivalent has its own posted completion window. Attendance and completion of the experimental or analytic work are graded, not a particular psychological score or a willingness to disclose private information. Each of 13 required meetings earns up to 2 points: 1 for attendance or an approved equivalent and 1 for the completed checkpoint. The participation percentage is points earned divided by 26, multiplied by 100. Notify the TA promptly about absences and arrange an approved make-up or equivalent task.</w:t>
      </w:r>
    </w:p>
    <w:p>
      <w:pPr>
        <w:pStyle w:val="Heading3"/>
      </w:pPr>
      <w:r>
        <w:t>Participant Choice, Access, and Data</w:t>
      </w:r>
    </w:p>
    <w:p>
      <w:pPr/>
      <w:r>
        <w:rPr>
          <w:b w:val="0"/>
        </w:rPr>
        <w:t>Participation as a human subject is voluntary. You may complete an equivalent analysis task using provided data without penalty. No task requires personal clinical disclosure, diagnostic testing of classmates, sleep deprivation, aversive stimuli, or real financial losses. No outside recruitment or collection involving children is authorized. Do not record identifiable video/audio or store classmates’ names with response data.</w:t>
      </w:r>
    </w:p>
    <w:p>
      <w:pPr/>
      <w:r>
        <w:rPr>
          <w:b w:val="0"/>
        </w:rPr>
        <w:t>Use instructor-approved tasks and coded data on the approved course system. Classroom data are for teaching, not automatically approved research. Any dissemination as human-subjects research requires the appropriate institutional determination and consent process. Students are graded on reasoning and analysis; opting out of contributing personal data has no adverse grading effect.</w:t>
      </w:r>
    </w:p>
    <w:p>
      <w:r>
        <w:br w:type="page"/>
      </w:r>
    </w:p>
    <w:p>
      <w:pPr>
        <w:pStyle w:val="Heading2"/>
      </w:pPr>
      <w:r>
        <w:t>Lab Schedule and Due Dates</w:t>
      </w:r>
    </w:p>
    <w:p>
      <w:pPr/>
      <w:r>
        <w:rPr>
          <w:b w:val="0"/>
        </w:rPr>
        <w:t>All report deadlines are 11:59 p.m. Pacific time. The date ranges identify teaching weeks; attend your assigned section. Laboratory times and rooms will be completed by the instructor. Holiday-affected sections receive equivalent work without required participation on a university closure day.</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224"/>
        <w:gridCol w:w="1656"/>
        <w:gridCol w:w="5616"/>
        <w:gridCol w:w="1584"/>
      </w:tblGrid>
      <w:tr>
        <w:trPr>
          <w:cantSplit/>
          <w:tblHeader/>
        </w:trPr>
        <w:tc>
          <w:tcPr>
            <w:tcW w:type="dxa" w:w="1224"/>
            <w:vAlign w:val="center"/>
            <w:shd w:fill="E8E8E8"/>
            <w:tcMar>
              <w:top w:w="65" w:type="dxa"/>
              <w:bottom w:w="65" w:type="dxa"/>
              <w:left w:w="65" w:type="dxa"/>
              <w:right w:w="65" w:type="dxa"/>
            </w:tcMar>
          </w:tcPr>
          <w:p>
            <w:pPr>
              <w:spacing w:after="40" w:before="40" w:line="240" w:lineRule="auto"/>
            </w:pPr>
            <w:r>
              <w:rPr>
                <w:rFonts w:ascii="Arial" w:hAnsi="Arial"/>
                <w:b/>
                <w:sz w:val="19"/>
              </w:rPr>
              <w:t>Lab / Week</w:t>
            </w:r>
          </w:p>
        </w:tc>
        <w:tc>
          <w:tcPr>
            <w:tcW w:type="dxa" w:w="1656"/>
            <w:vAlign w:val="center"/>
            <w:shd w:fill="E8E8E8"/>
            <w:tcMar>
              <w:top w:w="65" w:type="dxa"/>
              <w:bottom w:w="65" w:type="dxa"/>
              <w:left w:w="65" w:type="dxa"/>
              <w:right w:w="65" w:type="dxa"/>
            </w:tcMar>
          </w:tcPr>
          <w:p>
            <w:pPr>
              <w:spacing w:after="40" w:before="40" w:line="240" w:lineRule="auto"/>
            </w:pPr>
            <w:r>
              <w:rPr>
                <w:rFonts w:ascii="Arial" w:hAnsi="Arial"/>
                <w:b/>
                <w:sz w:val="19"/>
              </w:rPr>
              <w:t>Meeting Range</w:t>
            </w:r>
          </w:p>
        </w:tc>
        <w:tc>
          <w:tcPr>
            <w:tcW w:type="dxa" w:w="5616"/>
            <w:vAlign w:val="center"/>
            <w:shd w:fill="E8E8E8"/>
            <w:tcMar>
              <w:top w:w="65" w:type="dxa"/>
              <w:bottom w:w="65" w:type="dxa"/>
              <w:left w:w="65" w:type="dxa"/>
              <w:right w:w="65" w:type="dxa"/>
            </w:tcMar>
          </w:tcPr>
          <w:p>
            <w:pPr>
              <w:spacing w:after="40" w:before="40" w:line="240" w:lineRule="auto"/>
            </w:pPr>
            <w:r>
              <w:rPr>
                <w:rFonts w:ascii="Arial" w:hAnsi="Arial"/>
                <w:b/>
                <w:sz w:val="19"/>
              </w:rPr>
              <w:t>Experiment</w:t>
            </w:r>
          </w:p>
        </w:tc>
        <w:tc>
          <w:tcPr>
            <w:tcW w:type="dxa" w:w="1584"/>
            <w:vAlign w:val="center"/>
            <w:shd w:fill="E8E8E8"/>
            <w:tcMar>
              <w:top w:w="65" w:type="dxa"/>
              <w:bottom w:w="65" w:type="dxa"/>
              <w:left w:w="65" w:type="dxa"/>
              <w:right w:w="65" w:type="dxa"/>
            </w:tcMar>
          </w:tcPr>
          <w:p>
            <w:pPr>
              <w:spacing w:after="40" w:before="40" w:line="240" w:lineRule="auto"/>
            </w:pPr>
            <w:r>
              <w:rPr>
                <w:rFonts w:ascii="Arial" w:hAnsi="Arial"/>
                <w:b/>
                <w:sz w:val="19"/>
              </w:rPr>
              <w:t>Report Due</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1</w:t>
              <w:br/>
              <w:t>Week 1</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Aug 23–27</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Reaction time and the speed–accuracy trade-off</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Sep 5</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2</w:t>
              <w:br/>
              <w:t>Week 2</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Aug 30–Sep 3</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Psychophysics: detection and response criterion</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Sep 12</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3</w:t>
              <w:br/>
              <w:t>Week 3</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Sep 7–10</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Selective attention and Stroop interference</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Sep 19</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4</w:t>
              <w:br/>
              <w:t>Week 4</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Sep 13–17</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Learning and reversal of action–outcome contingencies</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Sep 26</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5</w:t>
              <w:br/>
              <w:t>Week 5</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Sep 20–24</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Working-memory load and distraction</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Oct 3</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6</w:t>
              <w:br/>
              <w:t>Week 6</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Sep 27–Oct 1</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Memory reconstruction and source monitoring</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Oct 17</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7</w:t>
              <w:br/>
              <w:t>Week 8</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Oct 11–15</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Framing and risky decisions</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Oct 24</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8</w:t>
              <w:br/>
              <w:t>Week 9</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Oct 18–22</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Infant cognition through looking-time data</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Oct 31</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9</w:t>
              <w:br/>
              <w:t>Week 10</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Oct 25–29</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Personality measurement and the role of situations</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Nov 7</w:t>
            </w:r>
          </w:p>
        </w:tc>
      </w:tr>
      <w:tr>
        <w:trPr>
          <w:cantSplit/>
        </w:trPr>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Lab 10</w:t>
              <w:br/>
              <w:t>Week 12</w:t>
            </w:r>
          </w:p>
        </w:tc>
        <w:tc>
          <w:tcPr>
            <w:tcW w:type="dxa" w:w="1656"/>
            <w:vAlign w:val="center"/>
            <w:tcMar>
              <w:top w:w="65" w:type="dxa"/>
              <w:bottom w:w="65" w:type="dxa"/>
              <w:left w:w="65" w:type="dxa"/>
              <w:right w:w="65" w:type="dxa"/>
            </w:tcMar>
          </w:tcPr>
          <w:p>
            <w:pPr>
              <w:spacing w:after="40" w:before="40" w:line="240" w:lineRule="auto"/>
            </w:pPr>
            <w:r>
              <w:rPr>
                <w:rFonts w:ascii="Arial" w:hAnsi="Arial"/>
                <w:b w:val="0"/>
                <w:sz w:val="19"/>
              </w:rPr>
              <w:t>Nov 8–12</w:t>
            </w:r>
          </w:p>
        </w:tc>
        <w:tc>
          <w:tcPr>
            <w:tcW w:type="dxa" w:w="5616"/>
            <w:vAlign w:val="center"/>
            <w:tcMar>
              <w:top w:w="65" w:type="dxa"/>
              <w:bottom w:w="65" w:type="dxa"/>
              <w:left w:w="65" w:type="dxa"/>
              <w:right w:w="65" w:type="dxa"/>
            </w:tcMar>
          </w:tcPr>
          <w:p>
            <w:pPr>
              <w:spacing w:after="40" w:before="40" w:line="240" w:lineRule="auto"/>
            </w:pPr>
            <w:r>
              <w:rPr>
                <w:rFonts w:ascii="Arial" w:hAnsi="Arial"/>
                <w:b w:val="0"/>
                <w:sz w:val="19"/>
              </w:rPr>
              <w:t>Cooperation, social norms, and group decisions</w:t>
            </w:r>
          </w:p>
        </w:tc>
        <w:tc>
          <w:tcPr>
            <w:tcW w:type="dxa" w:w="1584"/>
            <w:vAlign w:val="center"/>
            <w:tcMar>
              <w:top w:w="65" w:type="dxa"/>
              <w:bottom w:w="65" w:type="dxa"/>
              <w:left w:w="65" w:type="dxa"/>
              <w:right w:w="65" w:type="dxa"/>
            </w:tcMar>
          </w:tcPr>
          <w:p>
            <w:pPr>
              <w:spacing w:after="40" w:before="40" w:line="240" w:lineRule="auto"/>
            </w:pPr>
            <w:r>
              <w:rPr>
                <w:rFonts w:ascii="Arial" w:hAnsi="Arial"/>
                <w:b w:val="0"/>
                <w:sz w:val="19"/>
              </w:rPr>
              <w:t>Sun Nov 21</w:t>
            </w:r>
          </w:p>
        </w:tc>
      </w:tr>
    </w:tbl>
    <w:p>
      <w:pPr>
        <w:pStyle w:val="Heading3"/>
      </w:pPr>
      <w:r>
        <w:t>Laboratory Support and Project Weeks</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304"/>
        <w:gridCol w:w="7776"/>
      </w:tblGrid>
      <w:tr>
        <w:trPr>
          <w:cantSplit/>
          <w:tblHeader/>
        </w:trPr>
        <w:tc>
          <w:tcPr>
            <w:tcW w:type="dxa" w:w="2304"/>
            <w:vAlign w:val="center"/>
            <w:shd w:fill="E8E8E8"/>
            <w:tcMar>
              <w:top w:w="65" w:type="dxa"/>
              <w:bottom w:w="65" w:type="dxa"/>
              <w:left w:w="65" w:type="dxa"/>
              <w:right w:w="65" w:type="dxa"/>
            </w:tcMar>
          </w:tcPr>
          <w:p>
            <w:pPr>
              <w:spacing w:after="40" w:before="40" w:line="240" w:lineRule="auto"/>
            </w:pPr>
            <w:r>
              <w:rPr>
                <w:rFonts w:ascii="Arial" w:hAnsi="Arial"/>
                <w:b/>
                <w:sz w:val="19"/>
              </w:rPr>
              <w:t>Week</w:t>
            </w:r>
          </w:p>
        </w:tc>
        <w:tc>
          <w:tcPr>
            <w:tcW w:type="dxa" w:w="7776"/>
            <w:vAlign w:val="center"/>
            <w:shd w:fill="E8E8E8"/>
            <w:tcMar>
              <w:top w:w="65" w:type="dxa"/>
              <w:bottom w:w="65" w:type="dxa"/>
              <w:left w:w="65" w:type="dxa"/>
              <w:right w:w="65" w:type="dxa"/>
            </w:tcMar>
          </w:tcPr>
          <w:p>
            <w:pPr>
              <w:spacing w:after="40" w:before="40" w:line="240" w:lineRule="auto"/>
            </w:pPr>
            <w:r>
              <w:rPr>
                <w:rFonts w:ascii="Arial" w:hAnsi="Arial"/>
                <w:b/>
                <w:sz w:val="19"/>
              </w:rPr>
              <w:t>Plan</w:t>
            </w:r>
          </w:p>
        </w:tc>
      </w:tr>
      <w:tr>
        <w:trPr>
          <w:cantSplit/>
        </w:trPr>
        <w:tc>
          <w:tcPr>
            <w:tcW w:type="dxa" w:w="2304"/>
            <w:vAlign w:val="center"/>
            <w:tcMar>
              <w:top w:w="65" w:type="dxa"/>
              <w:bottom w:w="65" w:type="dxa"/>
              <w:left w:w="65" w:type="dxa"/>
              <w:right w:w="65" w:type="dxa"/>
            </w:tcMar>
          </w:tcPr>
          <w:p>
            <w:pPr>
              <w:spacing w:after="40" w:before="40" w:line="240" w:lineRule="auto"/>
            </w:pPr>
            <w:r>
              <w:rPr>
                <w:rFonts w:ascii="Arial" w:hAnsi="Arial"/>
                <w:b w:val="0"/>
                <w:sz w:val="19"/>
              </w:rPr>
              <w:t>Week 7: Oct 4–8</w:t>
            </w:r>
          </w:p>
        </w:tc>
        <w:tc>
          <w:tcPr>
            <w:tcW w:type="dxa" w:w="7776"/>
            <w:vAlign w:val="center"/>
            <w:tcMar>
              <w:top w:w="65" w:type="dxa"/>
              <w:bottom w:w="65" w:type="dxa"/>
              <w:left w:w="65" w:type="dxa"/>
              <w:right w:w="65" w:type="dxa"/>
            </w:tcMar>
          </w:tcPr>
          <w:p>
            <w:pPr>
              <w:spacing w:after="40" w:before="40" w:line="240" w:lineRule="auto"/>
            </w:pPr>
            <w:r>
              <w:rPr>
                <w:rFonts w:ascii="Arial" w:hAnsi="Arial"/>
                <w:b w:val="0"/>
                <w:sz w:val="19"/>
              </w:rPr>
              <w:t>Analysis support available before recess; no required regular lab. No class/labs October 7–8.</w:t>
            </w:r>
          </w:p>
        </w:tc>
      </w:tr>
      <w:tr>
        <w:trPr>
          <w:cantSplit/>
        </w:trPr>
        <w:tc>
          <w:tcPr>
            <w:tcW w:type="dxa" w:w="2304"/>
            <w:vAlign w:val="center"/>
            <w:tcMar>
              <w:top w:w="65" w:type="dxa"/>
              <w:bottom w:w="65" w:type="dxa"/>
              <w:left w:w="65" w:type="dxa"/>
              <w:right w:w="65" w:type="dxa"/>
            </w:tcMar>
          </w:tcPr>
          <w:p>
            <w:pPr>
              <w:spacing w:after="40" w:before="40" w:line="240" w:lineRule="auto"/>
            </w:pPr>
            <w:r>
              <w:rPr>
                <w:rFonts w:ascii="Arial" w:hAnsi="Arial"/>
                <w:b w:val="0"/>
                <w:sz w:val="19"/>
              </w:rPr>
              <w:t>Week 11: Nov 1–5</w:t>
            </w:r>
          </w:p>
        </w:tc>
        <w:tc>
          <w:tcPr>
            <w:tcW w:type="dxa" w:w="7776"/>
            <w:vAlign w:val="center"/>
            <w:tcMar>
              <w:top w:w="65" w:type="dxa"/>
              <w:bottom w:w="65" w:type="dxa"/>
              <w:left w:w="65" w:type="dxa"/>
              <w:right w:w="65" w:type="dxa"/>
            </w:tcMar>
          </w:tcPr>
          <w:p>
            <w:pPr>
              <w:spacing w:after="40" w:before="40" w:line="240" w:lineRule="auto"/>
            </w:pPr>
            <w:r>
              <w:rPr>
                <w:rFonts w:ascii="Arial" w:hAnsi="Arial"/>
                <w:b w:val="0"/>
                <w:sz w:val="19"/>
              </w:rPr>
              <w:t>Mini-replication design clinic and approved make-up work; proposal due November 5.</w:t>
            </w:r>
          </w:p>
        </w:tc>
      </w:tr>
      <w:tr>
        <w:trPr>
          <w:cantSplit/>
        </w:trPr>
        <w:tc>
          <w:tcPr>
            <w:tcW w:type="dxa" w:w="2304"/>
            <w:vAlign w:val="center"/>
            <w:tcMar>
              <w:top w:w="65" w:type="dxa"/>
              <w:bottom w:w="65" w:type="dxa"/>
              <w:left w:w="65" w:type="dxa"/>
              <w:right w:w="65" w:type="dxa"/>
            </w:tcMar>
          </w:tcPr>
          <w:p>
            <w:pPr>
              <w:spacing w:after="40" w:before="40" w:line="240" w:lineRule="auto"/>
            </w:pPr>
            <w:r>
              <w:rPr>
                <w:rFonts w:ascii="Arial" w:hAnsi="Arial"/>
                <w:b w:val="0"/>
                <w:sz w:val="19"/>
              </w:rPr>
              <w:t>Week 13: Nov 15–19</w:t>
            </w:r>
          </w:p>
        </w:tc>
        <w:tc>
          <w:tcPr>
            <w:tcW w:type="dxa" w:w="7776"/>
            <w:vAlign w:val="center"/>
            <w:tcMar>
              <w:top w:w="65" w:type="dxa"/>
              <w:bottom w:w="65" w:type="dxa"/>
              <w:left w:w="65" w:type="dxa"/>
              <w:right w:w="65" w:type="dxa"/>
            </w:tcMar>
          </w:tcPr>
          <w:p>
            <w:pPr>
              <w:spacing w:after="40" w:before="40" w:line="240" w:lineRule="auto"/>
            </w:pPr>
            <w:r>
              <w:rPr>
                <w:rFonts w:ascii="Arial" w:hAnsi="Arial"/>
                <w:b w:val="0"/>
                <w:sz w:val="19"/>
              </w:rPr>
              <w:t>Mini-replication data session, make-up support, and data checkpoint.</w:t>
            </w:r>
          </w:p>
        </w:tc>
      </w:tr>
      <w:tr>
        <w:trPr>
          <w:cantSplit/>
        </w:trPr>
        <w:tc>
          <w:tcPr>
            <w:tcW w:type="dxa" w:w="2304"/>
            <w:vAlign w:val="center"/>
            <w:tcMar>
              <w:top w:w="65" w:type="dxa"/>
              <w:bottom w:w="65" w:type="dxa"/>
              <w:left w:w="65" w:type="dxa"/>
              <w:right w:w="65" w:type="dxa"/>
            </w:tcMar>
          </w:tcPr>
          <w:p>
            <w:pPr>
              <w:spacing w:after="40" w:before="40" w:line="240" w:lineRule="auto"/>
            </w:pPr>
            <w:r>
              <w:rPr>
                <w:rFonts w:ascii="Arial" w:hAnsi="Arial"/>
                <w:b w:val="0"/>
                <w:sz w:val="19"/>
              </w:rPr>
              <w:t>Week 14: Nov 22–26</w:t>
            </w:r>
          </w:p>
        </w:tc>
        <w:tc>
          <w:tcPr>
            <w:tcW w:type="dxa" w:w="7776"/>
            <w:vAlign w:val="center"/>
            <w:tcMar>
              <w:top w:w="65" w:type="dxa"/>
              <w:bottom w:w="65" w:type="dxa"/>
              <w:left w:w="65" w:type="dxa"/>
              <w:right w:w="65" w:type="dxa"/>
            </w:tcMar>
          </w:tcPr>
          <w:p>
            <w:pPr>
              <w:spacing w:after="40" w:before="40" w:line="240" w:lineRule="auto"/>
            </w:pPr>
            <w:r>
              <w:rPr>
                <w:rFonts w:ascii="Arial" w:hAnsi="Arial"/>
                <w:b w:val="0"/>
                <w:sz w:val="19"/>
              </w:rPr>
              <w:t>No required regular lab; Thanksgiving closure November 24–28. No assignment deadline in the holiday.</w:t>
            </w:r>
          </w:p>
        </w:tc>
      </w:tr>
      <w:tr>
        <w:trPr>
          <w:cantSplit/>
        </w:trPr>
        <w:tc>
          <w:tcPr>
            <w:tcW w:type="dxa" w:w="2304"/>
            <w:vAlign w:val="center"/>
            <w:tcMar>
              <w:top w:w="65" w:type="dxa"/>
              <w:bottom w:w="65" w:type="dxa"/>
              <w:left w:w="65" w:type="dxa"/>
              <w:right w:w="65" w:type="dxa"/>
            </w:tcMar>
          </w:tcPr>
          <w:p>
            <w:pPr>
              <w:spacing w:after="40" w:before="40" w:line="240" w:lineRule="auto"/>
            </w:pPr>
            <w:r>
              <w:rPr>
                <w:rFonts w:ascii="Arial" w:hAnsi="Arial"/>
                <w:b w:val="0"/>
                <w:sz w:val="19"/>
              </w:rPr>
              <w:t>Week 15: Nov 29–Dec 3</w:t>
            </w:r>
          </w:p>
        </w:tc>
        <w:tc>
          <w:tcPr>
            <w:tcW w:type="dxa" w:w="7776"/>
            <w:vAlign w:val="center"/>
            <w:tcMar>
              <w:top w:w="65" w:type="dxa"/>
              <w:bottom w:w="65" w:type="dxa"/>
              <w:left w:w="65" w:type="dxa"/>
              <w:right w:w="65" w:type="dxa"/>
            </w:tcMar>
          </w:tcPr>
          <w:p>
            <w:pPr>
              <w:spacing w:after="40" w:before="40" w:line="240" w:lineRule="auto"/>
            </w:pPr>
            <w:r>
              <w:rPr>
                <w:rFonts w:ascii="Arial" w:hAnsi="Arial"/>
                <w:b w:val="0"/>
                <w:sz w:val="19"/>
              </w:rPr>
              <w:t>Mini-replication presentations in the assigned LAB section; final submission December 3. Lecture 41 still meets normally.</w:t>
            </w:r>
          </w:p>
        </w:tc>
      </w:tr>
    </w:tbl>
    <w:p>
      <w:pPr/>
      <w:r>
        <w:rPr>
          <w:b w:val="0"/>
          <w:sz w:val="18"/>
        </w:rPr>
        <w:t>Labor Day: Lab 3 is available September 7–10, including an equivalent asynchronous route for Monday sections. Veterans Day: Lab 10 uses November 8–10 or 12, including an equivalent route for Thursday sections. Make-up arrangements may not create a new conflict with a student’s other scheduled classes.</w:t>
      </w:r>
    </w:p>
    <w:p>
      <w:r>
        <w:br w:type="page"/>
      </w:r>
    </w:p>
    <w:p>
      <w:pPr>
        <w:pStyle w:val="Heading2"/>
      </w:pPr>
      <w:r>
        <w:t>Methods Assignments (15% of Lab Grade)</w:t>
      </w:r>
    </w:p>
    <w:p>
      <w:pPr/>
      <w:r>
        <w:rPr>
          <w:b w:val="0"/>
        </w:rPr>
        <w:t>Three assignments, 5% each, build the practical skills used in reports and projects. Use a spreadsheet, jamovi, or an instructor-provided graphical template. Coding is optional. Each assignment is scored out of 100 and emphasizes method selection, accurate work, and interpretation.</w:t>
      </w:r>
    </w:p>
    <w:p>
      <w:pPr>
        <w:pStyle w:val="Heading3"/>
      </w:pPr>
      <w:r>
        <w:t>Assignment 1: From responses to evidence — due Fri Sep 10</w:t>
      </w:r>
    </w:p>
    <w:p>
      <w:pPr/>
      <w:r>
        <w:rPr>
          <w:b w:val="0"/>
        </w:rPr>
        <w:t>Clean a supplied reaction-time file; justify an exclusion rule, calculate condition summaries, and create an accurately labeled figure. Submit the editable analysis and a one-page interpretation.</w:t>
      </w:r>
    </w:p>
    <w:p>
      <w:pPr>
        <w:pStyle w:val="Heading3"/>
      </w:pPr>
      <w:r>
        <w:t>Assignment 2: Design a fair psychological experiment — due Fri Oct 1</w:t>
      </w:r>
    </w:p>
    <w:p>
      <w:pPr/>
      <w:r>
        <w:rPr>
          <w:b w:val="0"/>
        </w:rPr>
        <w:t>Specify a question, variables, randomization or counterbalancing, comparison condition, ethical safeguards, and an analysis plan. Diagnose a confound in a supplied design. Submit two pages.</w:t>
      </w:r>
    </w:p>
    <w:p>
      <w:pPr>
        <w:pStyle w:val="Heading3"/>
      </w:pPr>
      <w:r>
        <w:t>Assignment 3: Replication, uncertainty, and generalization — due Fri Oct 29</w:t>
      </w:r>
    </w:p>
    <w:p>
      <w:pPr/>
      <w:r>
        <w:rPr>
          <w:b w:val="0"/>
        </w:rPr>
        <w:t>Compare two supplied study summaries and datasets. Estimate and interpret a condition difference, examine uncertainty using a provided analysis template, and propose a justified follow-up. Submit the editable analysis and two pages.</w:t>
      </w:r>
    </w:p>
    <w:p>
      <w:pPr>
        <w:pStyle w:val="Heading2"/>
      </w:pPr>
      <w:r>
        <w:t>Mini-Replication Project (15% of Lab Grade)</w:t>
      </w:r>
    </w:p>
    <w:p>
      <w:pPr/>
      <w:r>
        <w:rPr>
          <w:b w:val="0"/>
        </w:rPr>
        <w:t>In a team of three or four, select an approved neutral task already introduced in lab, such as attention, working memory, framing, or learning. Before examining the project outcome, record a prediction, conditions, allocation/counterbalancing, outcome measure, exclusion rule, and analysis plan. Use only authorized classroom participation or an instructor-approved public dataset; no outside recruitment is permitted.</w:t>
      </w:r>
    </w:p>
    <w:p>
      <w:pPr/>
      <w:r>
        <w:rPr>
          <w:b w:val="0"/>
        </w:rPr>
        <w:t>Submit a one-page team preregistration, an editable team analysis and data dictionary, one shared poster, and an individual 2–3-page interpretation. Present the poster for five minutes in your assigned laboratory section during Week 15. Analyze authentic data and report an inconclusive result honestly. A reanalysis route is available when data collection is not feasible.</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488"/>
        <w:gridCol w:w="2592"/>
      </w:tblGrid>
      <w:tr>
        <w:trPr>
          <w:cantSplit/>
          <w:tblHeader/>
        </w:trPr>
        <w:tc>
          <w:tcPr>
            <w:tcW w:type="dxa" w:w="7488"/>
            <w:vAlign w:val="center"/>
            <w:shd w:fill="E8E8E8"/>
            <w:tcMar>
              <w:top w:w="65" w:type="dxa"/>
              <w:bottom w:w="65" w:type="dxa"/>
              <w:left w:w="65" w:type="dxa"/>
              <w:right w:w="65" w:type="dxa"/>
            </w:tcMar>
          </w:tcPr>
          <w:p>
            <w:pPr>
              <w:spacing w:after="40" w:before="40" w:line="240" w:lineRule="auto"/>
            </w:pPr>
            <w:r>
              <w:rPr>
                <w:rFonts w:ascii="Arial" w:hAnsi="Arial"/>
                <w:b/>
                <w:sz w:val="19"/>
              </w:rPr>
              <w:t>Milestone</w:t>
            </w:r>
          </w:p>
        </w:tc>
        <w:tc>
          <w:tcPr>
            <w:tcW w:type="dxa" w:w="2592"/>
            <w:vAlign w:val="center"/>
            <w:shd w:fill="E8E8E8"/>
            <w:tcMar>
              <w:top w:w="65" w:type="dxa"/>
              <w:bottom w:w="65" w:type="dxa"/>
              <w:left w:w="65" w:type="dxa"/>
              <w:right w:w="65" w:type="dxa"/>
            </w:tcMar>
          </w:tcPr>
          <w:p>
            <w:pPr>
              <w:spacing w:after="40" w:before="40" w:line="240" w:lineRule="auto"/>
            </w:pPr>
            <w:r>
              <w:rPr>
                <w:rFonts w:ascii="Arial" w:hAnsi="Arial"/>
                <w:b/>
                <w:sz w:val="19"/>
              </w:rPr>
              <w:t>Due, 11:59 p.m.</w:t>
            </w:r>
          </w:p>
        </w:tc>
      </w:tr>
      <w:tr>
        <w:trPr>
          <w:cantSplit/>
        </w:trPr>
        <w:tc>
          <w:tcPr>
            <w:tcW w:type="dxa" w:w="7488"/>
            <w:vAlign w:val="center"/>
            <w:tcMar>
              <w:top w:w="65" w:type="dxa"/>
              <w:bottom w:w="65" w:type="dxa"/>
              <w:left w:w="65" w:type="dxa"/>
              <w:right w:w="65" w:type="dxa"/>
            </w:tcMar>
          </w:tcPr>
          <w:p>
            <w:pPr>
              <w:spacing w:after="40" w:before="40" w:line="240" w:lineRule="auto"/>
            </w:pPr>
            <w:r>
              <w:rPr>
                <w:rFonts w:ascii="Arial" w:hAnsi="Arial"/>
                <w:b w:val="0"/>
                <w:sz w:val="19"/>
              </w:rPr>
              <w:t>Team plan / preregistration; before project data collection or outcome analysis</w:t>
            </w:r>
          </w:p>
        </w:tc>
        <w:tc>
          <w:tcPr>
            <w:tcW w:type="dxa" w:w="2592"/>
            <w:vAlign w:val="center"/>
            <w:tcMar>
              <w:top w:w="65" w:type="dxa"/>
              <w:bottom w:w="65" w:type="dxa"/>
              <w:left w:w="65" w:type="dxa"/>
              <w:right w:w="65" w:type="dxa"/>
            </w:tcMar>
          </w:tcPr>
          <w:p>
            <w:pPr>
              <w:spacing w:after="40" w:before="40" w:line="240" w:lineRule="auto"/>
            </w:pPr>
            <w:r>
              <w:rPr>
                <w:rFonts w:ascii="Arial" w:hAnsi="Arial"/>
                <w:b w:val="0"/>
                <w:sz w:val="19"/>
              </w:rPr>
              <w:t>Fri Nov 5</w:t>
            </w:r>
          </w:p>
        </w:tc>
      </w:tr>
      <w:tr>
        <w:trPr>
          <w:cantSplit/>
        </w:trPr>
        <w:tc>
          <w:tcPr>
            <w:tcW w:type="dxa" w:w="7488"/>
            <w:vAlign w:val="center"/>
            <w:tcMar>
              <w:top w:w="65" w:type="dxa"/>
              <w:bottom w:w="65" w:type="dxa"/>
              <w:left w:w="65" w:type="dxa"/>
              <w:right w:w="65" w:type="dxa"/>
            </w:tcMar>
          </w:tcPr>
          <w:p>
            <w:pPr>
              <w:spacing w:after="40" w:before="40" w:line="240" w:lineRule="auto"/>
            </w:pPr>
            <w:r>
              <w:rPr>
                <w:rFonts w:ascii="Arial" w:hAnsi="Arial"/>
                <w:b w:val="0"/>
                <w:sz w:val="19"/>
              </w:rPr>
              <w:t>Data checkpoint: task status, coded data structure, and analysis progress</w:t>
            </w:r>
          </w:p>
        </w:tc>
        <w:tc>
          <w:tcPr>
            <w:tcW w:type="dxa" w:w="2592"/>
            <w:vAlign w:val="center"/>
            <w:tcMar>
              <w:top w:w="65" w:type="dxa"/>
              <w:bottom w:w="65" w:type="dxa"/>
              <w:left w:w="65" w:type="dxa"/>
              <w:right w:w="65" w:type="dxa"/>
            </w:tcMar>
          </w:tcPr>
          <w:p>
            <w:pPr>
              <w:spacing w:after="40" w:before="40" w:line="240" w:lineRule="auto"/>
            </w:pPr>
            <w:r>
              <w:rPr>
                <w:rFonts w:ascii="Arial" w:hAnsi="Arial"/>
                <w:b w:val="0"/>
                <w:sz w:val="19"/>
              </w:rPr>
              <w:t>Fri Nov 19</w:t>
            </w:r>
          </w:p>
        </w:tc>
      </w:tr>
      <w:tr>
        <w:trPr>
          <w:cantSplit/>
        </w:trPr>
        <w:tc>
          <w:tcPr>
            <w:tcW w:type="dxa" w:w="7488"/>
            <w:vAlign w:val="center"/>
            <w:tcMar>
              <w:top w:w="65" w:type="dxa"/>
              <w:bottom w:w="65" w:type="dxa"/>
              <w:left w:w="65" w:type="dxa"/>
              <w:right w:w="65" w:type="dxa"/>
            </w:tcMar>
          </w:tcPr>
          <w:p>
            <w:pPr>
              <w:spacing w:after="40" w:before="40" w:line="240" w:lineRule="auto"/>
            </w:pPr>
            <w:r>
              <w:rPr>
                <w:rFonts w:ascii="Arial" w:hAnsi="Arial"/>
                <w:b w:val="0"/>
                <w:sz w:val="19"/>
              </w:rPr>
              <w:t>Poster, editable analysis, and individual interpretation</w:t>
            </w:r>
          </w:p>
        </w:tc>
        <w:tc>
          <w:tcPr>
            <w:tcW w:type="dxa" w:w="2592"/>
            <w:vAlign w:val="center"/>
            <w:tcMar>
              <w:top w:w="65" w:type="dxa"/>
              <w:bottom w:w="65" w:type="dxa"/>
              <w:left w:w="65" w:type="dxa"/>
              <w:right w:w="65" w:type="dxa"/>
            </w:tcMar>
          </w:tcPr>
          <w:p>
            <w:pPr>
              <w:spacing w:after="40" w:before="40" w:line="240" w:lineRule="auto"/>
            </w:pPr>
            <w:r>
              <w:rPr>
                <w:rFonts w:ascii="Arial" w:hAnsi="Arial"/>
                <w:b w:val="0"/>
                <w:sz w:val="19"/>
              </w:rPr>
              <w:t>Fri Dec 3</w:t>
            </w:r>
          </w:p>
        </w:tc>
      </w:tr>
    </w:tbl>
    <w:p>
      <w:pPr/>
      <w:r>
        <w:rPr>
          <w:b w:val="0"/>
          <w:sz w:val="18"/>
        </w:rPr>
        <w:t>Rubric: preregistration/design 20 points; transparent data and analysis 30; interpretation and connection to prior evidence 30; poster/presentation 10; documented individual contribution 10. Team files account for 60 points and individual interpretation/contribution for 40. The same criterion cannot be earned twice by submitting the lecture project as the lab project.</w:t>
      </w:r>
    </w:p>
    <w:p>
      <w:r>
        <w:br w:type="page"/>
      </w:r>
    </w:p>
    <w:p>
      <w:pPr>
        <w:pStyle w:val="Heading2"/>
      </w:pPr>
      <w:r>
        <w:t>Lecture Recordings and Study Materials</w:t>
      </w:r>
    </w:p>
    <w:p>
      <w:pPr/>
      <w:r>
        <w:rPr>
          <w:b w:val="0"/>
        </w:rPr>
        <w:t>Following the model syllabus, lecture recordings are intended to be released one week before the relevant exam, subject to university recording policy, permissions, and technical availability. Earlier release may occur at the instructor’s discretion. Approved access arrangements are handled separately. Lecture slides and course notices are posted on the course site; a recording does not replace attendance or timely study.</w:t>
      </w:r>
    </w:p>
    <w:p>
      <w:pPr/>
      <w:r>
        <w:rPr>
          <w:b w:val="0"/>
        </w:rPr>
        <w:t>Current lectures define examinable content. Older recordings, if supplied, are supplemental and may differ from the current course. Do not assume that a prior offering’s study materials cover this semester. Specific textbook readings and research-paper lists will be added separately if assigned.</w:t>
      </w:r>
    </w:p>
    <w:p>
      <w:pPr>
        <w:pStyle w:val="Heading2"/>
      </w:pPr>
      <w:r>
        <w:t>Study Expectations</w:t>
      </w:r>
    </w:p>
    <w:p>
      <w:pPr/>
      <w:r>
        <w:rPr>
          <w:b w:val="0"/>
        </w:rPr>
        <w:t>Review each lecture within 48 hours. Practice explaining a concept, describing an experiment, interpreting its result, and applying the finding to a new situation. Use retrieval practice and spaced review rather than relying only on rereading. Start reports while the procedure and data are fresh. Plan study time around the credit hours and workload stated in the final approved course listing, and seek help early.</w:t>
      </w:r>
    </w:p>
    <w:p>
      <w:pPr>
        <w:pStyle w:val="Heading2"/>
      </w:pPr>
      <w:r>
        <w:t>Lecture &amp; Lab Attendance</w:t>
      </w:r>
    </w:p>
    <w:p>
      <w:pPr/>
      <w:r>
        <w:rPr>
          <w:b w:val="0"/>
        </w:rPr>
        <w:t>Attendance at lectures and laboratories is expected. There is no separate lecture-attendance grade, but students remain responsible for missed content. Laboratory attendance/participation is graded as described above. On a separate-session exam day, the scheduled MWF lecture still introduces new material; attendance expectations do not change.</w:t>
      </w:r>
    </w:p>
    <w:p>
      <w:pPr>
        <w:pStyle w:val="Heading2"/>
      </w:pPr>
      <w:r>
        <w:t>Late Work</w:t>
      </w:r>
    </w:p>
    <w:p>
      <w:pPr/>
      <w:r>
        <w:rPr>
          <w:b w:val="0"/>
        </w:rPr>
        <w:t>Lab reports, methods assignments, and the mini-replication final submission: deduct 5% of the available points per calendar day late for up to seven days; later work is not accepted unless an extension is approved. The deduction is calculated from the deadline, not from the next lab meeting. In-session participation checkpoints follow the session deadline or approved equivalent window.</w:t>
      </w:r>
    </w:p>
    <w:p>
      <w:pPr/>
      <w:r>
        <w:rPr>
          <w:b w:val="0"/>
        </w:rPr>
        <w:t>Lecture project final submission: a one-time deduction of 30% of the available points for work submitted after 11:59 p.m.; work more than 48 hours late is not accepted without an approved extension. Proposal and progress checkpoints are included within the relevant project’s design/transparency rubric rather than treated as additional separately weighted assignments.</w:t>
      </w:r>
    </w:p>
    <w:p>
      <w:pPr/>
      <w:r>
        <w:rPr>
          <w:b w:val="0"/>
        </w:rPr>
        <w:t>Contact the instructor or TA before a deadline when possible, or as soon as reasonably possible during an emergency. Approved accommodations, religious observance, documented emergencies, and university policy take precedence over ordinary late penalties. A report dropped under the best-eight rule does not automatically excuse a missed laboratory session.</w:t>
      </w:r>
    </w:p>
    <w:p>
      <w:pPr>
        <w:pStyle w:val="Heading2"/>
      </w:pPr>
      <w:r>
        <w:t>Academic Integrity and Use of AI Tools</w:t>
      </w:r>
    </w:p>
    <w:p>
      <w:pPr/>
      <w:r>
        <w:rPr>
          <w:b w:val="0"/>
        </w:rPr>
        <w:t>Submit your own reasoning, writing, analysis, and interpretation. Do not fabricate observations, alter data to support a prediction, invent citations, or submit another student’s work. Collaboration is allowed for approved team data collection and the mini-replication team files; individual reports, interpretations, and exams remain individual work unless stated otherwise.</w:t>
      </w:r>
    </w:p>
    <w:p>
      <w:pPr/>
      <w:r>
        <w:rPr>
          <w:b w:val="0"/>
        </w:rPr>
        <w:t>Generative AI may not write submitted report prose, the lecture-project paper, individual mini-replication interpretation, or exam answers. If the instructor permits AI assistance for coding or software troubleshooting, disclose the tool and its contribution, verify the output, and retain the original files. Do not upload classmates’ data or private course materials to external AI services. Suspected violations are handled under university procedures.</w:t>
      </w:r>
    </w:p>
    <w:p>
      <w:r>
        <w:br w:type="page"/>
      </w:r>
    </w:p>
    <w:p>
      <w:pPr>
        <w:pStyle w:val="Heading2"/>
      </w:pPr>
      <w:r>
        <w:t>Accommodations</w:t>
      </w:r>
    </w:p>
    <w:p>
      <w:pPr/>
      <w:r>
        <w:rPr>
          <w:b w:val="0"/>
        </w:rPr>
        <w:t>Contact USC’s Office of Student Accessibility Services (OSAS) early to request accommodations. Provide the approved accommodation notice through the university process and coordinate implementation with the instructor and TA. Approved accommodations apply to lectures, examinations, laboratory procedures, software, and deadlines as specified. Early notice helps planning; a course deadline does not cancel an approved accommodation. OSAS: https://osas.usc.edu/.</w:t>
      </w:r>
    </w:p>
    <w:p>
      <w:pPr>
        <w:pStyle w:val="Heading2"/>
      </w:pPr>
      <w:r>
        <w:t>Communication</w:t>
      </w:r>
    </w:p>
    <w:p>
      <w:pPr/>
      <w:r>
        <w:rPr>
          <w:b w:val="0"/>
        </w:rPr>
        <w:t>Use your TA first for laboratory procedures, data analysis, report feedback, and routine logistics. Contact the instructor for unresolved grading questions, course-level concerns, accommodations, or matters you do not wish to discuss with a TA. Use a clear subject line such as “PSYC100 L: Lab 3 analysis question” and identify your section and assignment.</w:t>
      </w:r>
    </w:p>
    <w:p>
      <w:pPr/>
      <w:r>
        <w:rPr>
          <w:b w:val="0"/>
        </w:rPr>
        <w:t>The instructor aims to respond within one business day. Evening, weekend, and holiday messages may be answered the following business day. Check the course site for current announcements and confirm exam coverage from the calendar before emailing. Staff names, email addresses, and office hours will be completed before the course begins.</w:t>
      </w:r>
    </w:p>
    <w:p>
      <w:pPr>
        <w:pStyle w:val="Heading2"/>
      </w:pPr>
      <w:r>
        <w:t>Absences and Communication</w:t>
      </w:r>
    </w:p>
    <w:p>
      <w:pPr/>
      <w:r>
        <w:rPr>
          <w:b w:val="0"/>
        </w:rPr>
        <w:t>Notify the instructor or TA promptly about illness, an emergency, a university obligation, or a religious-observance conflict. Provide documentation through the appropriate university process when required; do not email sensitive medical details unnecessarily. For lab absences, arrange an approved equivalent or make-up task. For exams, follow the missed-exam policy and the applicable university requirements.</w:t>
      </w:r>
    </w:p>
    <w:p>
      <w:pPr>
        <w:pStyle w:val="Heading2"/>
      </w:pPr>
      <w:r>
        <w:t>Sensitive Topics and Student Support</w:t>
      </w:r>
    </w:p>
    <w:p>
      <w:pPr/>
      <w:r>
        <w:rPr>
          <w:b w:val="0"/>
        </w:rPr>
        <w:t>Some classes address addiction, trauma, eating disorders, mood disorders, psychosis, and other potentially sensitive material. These topics are taught scientifically and respectfully. No student is required to disclose personal experience, identify a classmate’s diagnosis, or serve as a clinical case example. Contact the instructor privately about an access concern; equivalent instructional routes can be arranged where appropriate.</w:t>
      </w:r>
    </w:p>
    <w:p>
      <w:pPr/>
      <w:r>
        <w:rPr>
          <w:b w:val="0"/>
        </w:rPr>
        <w:t>For academic and well-being support, use the university’s current student-support services. USC Student Health: https://studenthealth.usc.edu/. Consult the course site for current official university statements on academic integrity, accessibility, reporting obligations, emergency procedures, and support resources; the instructor must add the required institutional language before publication.</w:t>
      </w:r>
    </w:p>
    <w:p>
      <w:pPr>
        <w:pStyle w:val="Heading2"/>
      </w:pPr>
      <w:r>
        <w:t>Calendar Notes</w:t>
      </w:r>
    </w:p>
    <w:p>
      <w:pPr/>
      <w:r>
        <w:rPr>
          <w:b w:val="0"/>
        </w:rPr>
        <w:t>The following calendar aligns with USC’s published Fall 2027 academic calendar: instruction August 23–December 3, Fall Recess October 7–8, Veterans Day November 11, Thanksgiving November 24–28, study days December 4–7, and final exams December 8–15. There are 41 MWF instructional meetings, all used for substantive lectures. Source: https://academics.usc.edu/calendar/.</w:t>
      </w:r>
    </w:p>
    <w:p>
      <w:pPr/>
      <w:r>
        <w:rPr>
          <w:b w:val="0"/>
        </w:rPr>
        <w:t>All dates are Pacific time. Lab reports and assignments are due at 11:59 p.m. unless a different session deadline is stated. The instructor may announce necessary changes on the course site with reasonable notice; university closures and approved accommodations continue to apply.</w:t>
      </w:r>
    </w:p>
    <w:p>
      <w:r>
        <w:br w:type="page"/>
      </w:r>
    </w:p>
    <w:p>
      <w:pPr>
        <w:pStyle w:val="Heading2"/>
      </w:pPr>
      <w:r>
        <w:t>Course Calendar: August–September</w:t>
      </w:r>
    </w:p>
    <w:p>
      <w:pPr/>
      <w:r>
        <w:rPr>
          <w:b w:val="0"/>
          <w:sz w:val="18"/>
        </w:rPr>
        <w:t>Lectures meet MWF, 1:30–2:50 p.m. Exams use the separate session; its time and room remain to be entered. Deadlines below are 11:59 p.m. unless stated otherwise.</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181"/>
        <w:gridCol w:w="1224"/>
        <w:gridCol w:w="5112"/>
        <w:gridCol w:w="2563"/>
      </w:tblGrid>
      <w:tr>
        <w:trPr>
          <w:cantSplit/>
          <w:tblHeader/>
        </w:trPr>
        <w:tc>
          <w:tcPr>
            <w:tcW w:type="dxa" w:w="1181"/>
            <w:vAlign w:val="center"/>
            <w:shd w:fill="E8E8E8"/>
            <w:tcMar>
              <w:top w:w="65" w:type="dxa"/>
              <w:bottom w:w="65" w:type="dxa"/>
              <w:left w:w="65" w:type="dxa"/>
              <w:right w:w="65" w:type="dxa"/>
            </w:tcMar>
          </w:tcPr>
          <w:p>
            <w:pPr>
              <w:spacing w:after="40" w:before="40" w:line="240" w:lineRule="auto"/>
            </w:pPr>
            <w:r>
              <w:rPr>
                <w:rFonts w:ascii="Arial" w:hAnsi="Arial"/>
                <w:b/>
                <w:sz w:val="19"/>
              </w:rPr>
              <w:t>Date</w:t>
            </w:r>
          </w:p>
        </w:tc>
        <w:tc>
          <w:tcPr>
            <w:tcW w:type="dxa" w:w="1224"/>
            <w:vAlign w:val="center"/>
            <w:shd w:fill="E8E8E8"/>
            <w:tcMar>
              <w:top w:w="65" w:type="dxa"/>
              <w:bottom w:w="65" w:type="dxa"/>
              <w:left w:w="65" w:type="dxa"/>
              <w:right w:w="65" w:type="dxa"/>
            </w:tcMar>
          </w:tcPr>
          <w:p>
            <w:pPr>
              <w:spacing w:after="40" w:before="40" w:line="240" w:lineRule="auto"/>
            </w:pPr>
            <w:r>
              <w:rPr>
                <w:rFonts w:ascii="Arial" w:hAnsi="Arial"/>
                <w:b/>
                <w:sz w:val="19"/>
              </w:rPr>
              <w:t>Session</w:t>
            </w:r>
          </w:p>
        </w:tc>
        <w:tc>
          <w:tcPr>
            <w:tcW w:type="dxa" w:w="5112"/>
            <w:vAlign w:val="center"/>
            <w:shd w:fill="E8E8E8"/>
            <w:tcMar>
              <w:top w:w="65" w:type="dxa"/>
              <w:bottom w:w="65" w:type="dxa"/>
              <w:left w:w="65" w:type="dxa"/>
              <w:right w:w="65" w:type="dxa"/>
            </w:tcMar>
          </w:tcPr>
          <w:p>
            <w:pPr>
              <w:spacing w:after="40" w:before="40" w:line="240" w:lineRule="auto"/>
            </w:pPr>
            <w:r>
              <w:rPr>
                <w:rFonts w:ascii="Arial" w:hAnsi="Arial"/>
                <w:b/>
                <w:sz w:val="19"/>
              </w:rPr>
              <w:t>Topic / Event</w:t>
            </w:r>
          </w:p>
        </w:tc>
        <w:tc>
          <w:tcPr>
            <w:tcW w:type="dxa" w:w="2563"/>
            <w:vAlign w:val="center"/>
            <w:shd w:fill="E8E8E8"/>
            <w:tcMar>
              <w:top w:w="65" w:type="dxa"/>
              <w:bottom w:w="65" w:type="dxa"/>
              <w:left w:w="65" w:type="dxa"/>
              <w:right w:w="65" w:type="dxa"/>
            </w:tcMar>
          </w:tcPr>
          <w:p>
            <w:pPr>
              <w:spacing w:after="40" w:before="40" w:line="240" w:lineRule="auto"/>
            </w:pPr>
            <w:r>
              <w:rPr>
                <w:rFonts w:ascii="Arial" w:hAnsi="Arial"/>
                <w:b/>
                <w:sz w:val="19"/>
              </w:rPr>
              <w:t>Due / Notes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Aug 23</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Perception, illusions, and the mind’s predictions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Labs begin this week; first lecture teaches material immediately</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Aug 25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Experiments, causality, and psychological evidence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Aug 27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Neurons, networks, and the biology of behavior</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Aug 30</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4</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Brain damage, plasticity, and the divided mind</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Sep 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5</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Genes, experience, and human differences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Sep 3</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6</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Seeing, hearing, and detecting weak signals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Sep 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1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Sep 6</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Holiday</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Labor Day</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No class or labs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Sep 8</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7</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Attention, distraction, and failures of awareness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Sep 10</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8</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Consciousness, unconscious processing, and agency</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Methods 1 due</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Sep 12</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2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Sep 13</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9</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Sleep, dreaming, and biological clocks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Sep 15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10</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Drugs, reward, and addiction</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Sep 17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11</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Classical conditioning: learning predictive relationships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Sep 19</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3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Sep 20</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12</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Operant conditioning: actions and consequences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EXAM 1 separately; L1–10</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Sep 22</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13</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Observational learning and cultural transmission</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Sep 24</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14</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Working memory, amnesia, and memory systems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Lecture project proposal</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Sep 26</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4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Sep 27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15</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False memories and eyewitness identification</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Sep 29</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16</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Retrieval, forgetting, and durable learning</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bl>
    <w:p>
      <w:r>
        <w:br w:type="page"/>
      </w:r>
    </w:p>
    <w:p>
      <w:pPr>
        <w:pStyle w:val="Heading2"/>
      </w:pPr>
      <w:r>
        <w:t>Course Calendar: October</w:t>
      </w:r>
    </w:p>
    <w:p>
      <w:pPr/>
      <w:r>
        <w:rPr>
          <w:b w:val="0"/>
          <w:sz w:val="18"/>
        </w:rPr>
        <w:t>Lectures meet MWF, 1:30–2:50 p.m. Exams use the separate session; its time and room remain to be entered. Deadlines below are 11:59 p.m. unless stated otherwise.</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181"/>
        <w:gridCol w:w="1224"/>
        <w:gridCol w:w="5112"/>
        <w:gridCol w:w="2563"/>
      </w:tblGrid>
      <w:tr>
        <w:trPr>
          <w:cantSplit/>
          <w:tblHeader/>
        </w:trPr>
        <w:tc>
          <w:tcPr>
            <w:tcW w:type="dxa" w:w="1181"/>
            <w:vAlign w:val="center"/>
            <w:shd w:fill="E8E8E8"/>
            <w:tcMar>
              <w:top w:w="65" w:type="dxa"/>
              <w:bottom w:w="65" w:type="dxa"/>
              <w:left w:w="65" w:type="dxa"/>
              <w:right w:w="65" w:type="dxa"/>
            </w:tcMar>
          </w:tcPr>
          <w:p>
            <w:pPr>
              <w:spacing w:after="40" w:before="40" w:line="240" w:lineRule="auto"/>
            </w:pPr>
            <w:r>
              <w:rPr>
                <w:rFonts w:ascii="Arial" w:hAnsi="Arial"/>
                <w:b/>
                <w:sz w:val="19"/>
              </w:rPr>
              <w:t>Date</w:t>
            </w:r>
          </w:p>
        </w:tc>
        <w:tc>
          <w:tcPr>
            <w:tcW w:type="dxa" w:w="1224"/>
            <w:vAlign w:val="center"/>
            <w:shd w:fill="E8E8E8"/>
            <w:tcMar>
              <w:top w:w="65" w:type="dxa"/>
              <w:bottom w:w="65" w:type="dxa"/>
              <w:left w:w="65" w:type="dxa"/>
              <w:right w:w="65" w:type="dxa"/>
            </w:tcMar>
          </w:tcPr>
          <w:p>
            <w:pPr>
              <w:spacing w:after="40" w:before="40" w:line="240" w:lineRule="auto"/>
            </w:pPr>
            <w:r>
              <w:rPr>
                <w:rFonts w:ascii="Arial" w:hAnsi="Arial"/>
                <w:b/>
                <w:sz w:val="19"/>
              </w:rPr>
              <w:t>Session</w:t>
            </w:r>
          </w:p>
        </w:tc>
        <w:tc>
          <w:tcPr>
            <w:tcW w:type="dxa" w:w="5112"/>
            <w:vAlign w:val="center"/>
            <w:shd w:fill="E8E8E8"/>
            <w:tcMar>
              <w:top w:w="65" w:type="dxa"/>
              <w:bottom w:w="65" w:type="dxa"/>
              <w:left w:w="65" w:type="dxa"/>
              <w:right w:w="65" w:type="dxa"/>
            </w:tcMar>
          </w:tcPr>
          <w:p>
            <w:pPr>
              <w:spacing w:after="40" w:before="40" w:line="240" w:lineRule="auto"/>
            </w:pPr>
            <w:r>
              <w:rPr>
                <w:rFonts w:ascii="Arial" w:hAnsi="Arial"/>
                <w:b/>
                <w:sz w:val="19"/>
              </w:rPr>
              <w:t>Topic / Event</w:t>
            </w:r>
          </w:p>
        </w:tc>
        <w:tc>
          <w:tcPr>
            <w:tcW w:type="dxa" w:w="2563"/>
            <w:vAlign w:val="center"/>
            <w:shd w:fill="E8E8E8"/>
            <w:tcMar>
              <w:top w:w="65" w:type="dxa"/>
              <w:bottom w:w="65" w:type="dxa"/>
              <w:left w:w="65" w:type="dxa"/>
              <w:right w:w="65" w:type="dxa"/>
            </w:tcMar>
          </w:tcPr>
          <w:p>
            <w:pPr>
              <w:spacing w:after="40" w:before="40" w:line="240" w:lineRule="auto"/>
            </w:pPr>
            <w:r>
              <w:rPr>
                <w:rFonts w:ascii="Arial" w:hAnsi="Arial"/>
                <w:b/>
                <w:sz w:val="19"/>
              </w:rPr>
              <w:t>Due / Notes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Oct 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17</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Language: acquisition, comprehension, and the brain</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Methods 2 due</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Oct 3</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5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Oct 4</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18</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Judgment, risk, and decision-making</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Oct 6</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19</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Intelligence: measurement, development, and fairness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Oct 8</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Recess</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Fall Recess: October 7–8</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No class or labs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Oct 11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20</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Motivation: hunger, goals, and self-control</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Oct 13</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21</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Emotion: bodily responses, appraisal, and regulation</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Oct 15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22</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Stress, health, and the social environment</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Oct 17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6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Oct 18</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23</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Infant cognition and the developing mind</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EXAM 2 separately; L11–20</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Oct 20</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24</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Attachment, caregiving, and social development</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Oct 22</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25</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Adolescence: identity, peers, and risk</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Lecture project progress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Oct 24</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7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Oct 25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26</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Adulthood, aging, and cognitive change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Oct 27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27</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Personality: traits, situations, and the self</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Oct 29</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28</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Sex, gender, and sexual behavior</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Methods 3 due</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Oct 31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8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bl>
    <w:p>
      <w:r>
        <w:br w:type="page"/>
      </w:r>
    </w:p>
    <w:p>
      <w:pPr>
        <w:pStyle w:val="Heading2"/>
      </w:pPr>
      <w:r>
        <w:t>Course Calendar: November–December</w:t>
      </w:r>
    </w:p>
    <w:p>
      <w:pPr/>
      <w:r>
        <w:rPr>
          <w:b w:val="0"/>
          <w:sz w:val="18"/>
        </w:rPr>
        <w:t>Lectures meet MWF, 1:30–2:50 p.m. Exams use the separate session; its time and room remain to be entered. Deadlines below are 11:59 p.m. unless stated otherwise.</w:t>
      </w:r>
    </w:p>
    <w:tbl>
      <w:tblPr>
        <w:tblStyle w:val="Table1"/>
        <w:tblW w:w="1008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181"/>
        <w:gridCol w:w="1224"/>
        <w:gridCol w:w="5112"/>
        <w:gridCol w:w="2563"/>
      </w:tblGrid>
      <w:tr>
        <w:trPr>
          <w:cantSplit/>
          <w:tblHeader/>
        </w:trPr>
        <w:tc>
          <w:tcPr>
            <w:tcW w:type="dxa" w:w="1181"/>
            <w:vAlign w:val="center"/>
            <w:shd w:fill="E8E8E8"/>
            <w:tcMar>
              <w:top w:w="65" w:type="dxa"/>
              <w:bottom w:w="65" w:type="dxa"/>
              <w:left w:w="65" w:type="dxa"/>
              <w:right w:w="65" w:type="dxa"/>
            </w:tcMar>
          </w:tcPr>
          <w:p>
            <w:pPr>
              <w:spacing w:after="40" w:before="40" w:line="240" w:lineRule="auto"/>
            </w:pPr>
            <w:r>
              <w:rPr>
                <w:rFonts w:ascii="Arial" w:hAnsi="Arial"/>
                <w:b/>
                <w:sz w:val="19"/>
              </w:rPr>
              <w:t>Date</w:t>
            </w:r>
          </w:p>
        </w:tc>
        <w:tc>
          <w:tcPr>
            <w:tcW w:type="dxa" w:w="1224"/>
            <w:vAlign w:val="center"/>
            <w:shd w:fill="E8E8E8"/>
            <w:tcMar>
              <w:top w:w="65" w:type="dxa"/>
              <w:bottom w:w="65" w:type="dxa"/>
              <w:left w:w="65" w:type="dxa"/>
              <w:right w:w="65" w:type="dxa"/>
            </w:tcMar>
          </w:tcPr>
          <w:p>
            <w:pPr>
              <w:spacing w:after="40" w:before="40" w:line="240" w:lineRule="auto"/>
            </w:pPr>
            <w:r>
              <w:rPr>
                <w:rFonts w:ascii="Arial" w:hAnsi="Arial"/>
                <w:b/>
                <w:sz w:val="19"/>
              </w:rPr>
              <w:t>Session</w:t>
            </w:r>
          </w:p>
        </w:tc>
        <w:tc>
          <w:tcPr>
            <w:tcW w:type="dxa" w:w="5112"/>
            <w:vAlign w:val="center"/>
            <w:shd w:fill="E8E8E8"/>
            <w:tcMar>
              <w:top w:w="65" w:type="dxa"/>
              <w:bottom w:w="65" w:type="dxa"/>
              <w:left w:w="65" w:type="dxa"/>
              <w:right w:w="65" w:type="dxa"/>
            </w:tcMar>
          </w:tcPr>
          <w:p>
            <w:pPr>
              <w:spacing w:after="40" w:before="40" w:line="240" w:lineRule="auto"/>
            </w:pPr>
            <w:r>
              <w:rPr>
                <w:rFonts w:ascii="Arial" w:hAnsi="Arial"/>
                <w:b/>
                <w:sz w:val="19"/>
              </w:rPr>
              <w:t>Topic / Event</w:t>
            </w:r>
          </w:p>
        </w:tc>
        <w:tc>
          <w:tcPr>
            <w:tcW w:type="dxa" w:w="2563"/>
            <w:vAlign w:val="center"/>
            <w:shd w:fill="E8E8E8"/>
            <w:tcMar>
              <w:top w:w="65" w:type="dxa"/>
              <w:bottom w:w="65" w:type="dxa"/>
              <w:left w:w="65" w:type="dxa"/>
              <w:right w:w="65" w:type="dxa"/>
            </w:tcMar>
          </w:tcPr>
          <w:p>
            <w:pPr>
              <w:spacing w:after="40" w:before="40" w:line="240" w:lineRule="auto"/>
            </w:pPr>
            <w:r>
              <w:rPr>
                <w:rFonts w:ascii="Arial" w:hAnsi="Arial"/>
                <w:b/>
                <w:sz w:val="19"/>
              </w:rPr>
              <w:t>Due / Notes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Nov 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29</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Social perception, attribution, and first impressions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Nov 3</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30</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Conformity, obedience, and social power</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Nov 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31</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Prejudice, discrimination, and intergroup behavior</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Lab project proposal</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Nov 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9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Nov 8</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32</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Cooperation, helping, and collective action</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EXAM 3 separately; L21–30</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Nov 10</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33</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Relationships, belonging, and loneliness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Thu Nov 11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Holiday</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Veterans Day (Thursday)</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No labs; MWF lectures unaffected</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Nov 12</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34</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Culture, work, and behavior in organizations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Nov 15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35</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Psychological disorders, assessment, and neurodevelopment</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Nov 17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36</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Anxiety, trauma, and obsessive-compulsive disorders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Nov 19</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37</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Mood disorders: depression and bipolar disorder</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Lecture project final + lab project checkpoint</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Sun Nov 21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Deadline</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Lab 10 report due</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11:59 p.m.</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Nov 22</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38</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Schizophrenia and psychosis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Nov 24</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Holiday</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Thanksgiving Holiday: November 24–28</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No class or labs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Mon Nov 29</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39</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Dissociative, personality, and eating disorders</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Wed Dec 1</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40</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Treatments: psychotherapy, medication, and prevention</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Fri Dec 3</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Lecture 41</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Psychology in the digital world: persuasion, misinformation, and AI</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Lab project final</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Dec 4–7</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Study days</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University study period</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No regular lectures/labs</w:t>
            </w:r>
          </w:p>
        </w:tc>
      </w:tr>
      <w:tr>
        <w:trPr>
          <w:cantSplit/>
        </w:trPr>
        <w:tc>
          <w:tcPr>
            <w:tcW w:type="dxa" w:w="1181"/>
            <w:vAlign w:val="center"/>
            <w:tcMar>
              <w:top w:w="65" w:type="dxa"/>
              <w:bottom w:w="65" w:type="dxa"/>
              <w:left w:w="65" w:type="dxa"/>
              <w:right w:w="65" w:type="dxa"/>
            </w:tcMar>
          </w:tcPr>
          <w:p>
            <w:pPr>
              <w:spacing w:after="40" w:before="40" w:line="240" w:lineRule="auto"/>
            </w:pPr>
            <w:r>
              <w:rPr>
                <w:rFonts w:ascii="Arial" w:hAnsi="Arial"/>
                <w:b w:val="0"/>
                <w:sz w:val="19"/>
              </w:rPr>
              <w:t>Dec 8–15</w:t>
            </w:r>
          </w:p>
        </w:tc>
        <w:tc>
          <w:tcPr>
            <w:tcW w:type="dxa" w:w="1224"/>
            <w:vAlign w:val="center"/>
            <w:tcMar>
              <w:top w:w="65" w:type="dxa"/>
              <w:bottom w:w="65" w:type="dxa"/>
              <w:left w:w="65" w:type="dxa"/>
              <w:right w:w="65" w:type="dxa"/>
            </w:tcMar>
          </w:tcPr>
          <w:p>
            <w:pPr>
              <w:spacing w:after="40" w:before="40" w:line="240" w:lineRule="auto"/>
            </w:pPr>
            <w:r>
              <w:rPr>
                <w:rFonts w:ascii="Arial" w:hAnsi="Arial"/>
                <w:b w:val="0"/>
                <w:sz w:val="19"/>
              </w:rPr>
              <w:t>Exam 4</w:t>
            </w:r>
          </w:p>
        </w:tc>
        <w:tc>
          <w:tcPr>
            <w:tcW w:type="dxa" w:w="5112"/>
            <w:vAlign w:val="center"/>
            <w:tcMar>
              <w:top w:w="65" w:type="dxa"/>
              <w:bottom w:w="65" w:type="dxa"/>
              <w:left w:w="65" w:type="dxa"/>
              <w:right w:w="65" w:type="dxa"/>
            </w:tcMar>
          </w:tcPr>
          <w:p>
            <w:pPr>
              <w:spacing w:after="40" w:before="40" w:line="240" w:lineRule="auto"/>
            </w:pPr>
            <w:r>
              <w:rPr>
                <w:rFonts w:ascii="Arial" w:hAnsi="Arial"/>
                <w:b w:val="0"/>
                <w:sz w:val="19"/>
              </w:rPr>
              <w:t>Lectures 31–41</w:t>
            </w:r>
          </w:p>
        </w:tc>
        <w:tc>
          <w:tcPr>
            <w:tcW w:type="dxa" w:w="2563"/>
            <w:vAlign w:val="center"/>
            <w:tcMar>
              <w:top w:w="65" w:type="dxa"/>
              <w:bottom w:w="65" w:type="dxa"/>
              <w:left w:w="65" w:type="dxa"/>
              <w:right w:w="65" w:type="dxa"/>
            </w:tcMar>
          </w:tcPr>
          <w:p>
            <w:pPr>
              <w:spacing w:after="40" w:before="40" w:line="240" w:lineRule="auto"/>
            </w:pPr>
            <w:r>
              <w:rPr>
                <w:rFonts w:ascii="Arial" w:hAnsi="Arial"/>
                <w:b w:val="0"/>
                <w:sz w:val="19"/>
              </w:rPr>
              <w:t>Assigned date/time: __________</w:t>
            </w:r>
          </w:p>
        </w:tc>
      </w:tr>
    </w:tbl>
    <w:p>
      <w:pPr>
        <w:pStyle w:val="Heading2"/>
      </w:pPr>
      <w:r>
        <w:t>Final Word</w:t>
      </w:r>
    </w:p>
    <w:p>
      <w:pPr/>
      <w:r>
        <w:rPr>
          <w:b w:val="0"/>
        </w:rPr>
        <w:t>This course asks you to explain how people think and behave, then examine the evidence. Come prepared to question an explanation, run an experiment, analyze an unexpected result, and revise a conclusion. You do not need advanced training to begin; you do need to participate, work carefully, and use feedback throughout the semester.</w:t>
      </w:r>
    </w:p>
    <w:p>
      <w:pPr>
        <w:pStyle w:val="Heading3"/>
      </w:pPr>
      <w:r>
        <w:t>Banner Credit</w:t>
      </w:r>
    </w:p>
    <w:p>
      <w:pPr/>
      <w:r>
        <w:rPr>
          <w:b w:val="0"/>
          <w:sz w:val="15"/>
        </w:rPr>
        <w:t>Banner: Csaba Segesvári, University of Szeged psychology EEG laboratory (not USC). CC BY-SA 3.0; banner crop. License: https://creativecommons.org/licenses/by-sa/3.0/. Source: https://commons.wikimedia.org/wiki/File:Institut_of_Psychology_Szeged_EEG_Laboratory_2.jpg</w:t>
      </w:r>
    </w:p>
    <w:sectPr>
      <w:footerReference r:id="rId13" w:type="default"/>
      <w:pgSz w:h="15840" w:w="12240" w:orient="portrait"/>
      <w:pgMar w:bottom="1152" w:top="864" w:left="1080" w:right="1080" w:header="288"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0">
    <w:pPr>
      <w:jc w:val="right"/>
      <w:rPr/>
    </w:pPr>
    <w:r>
      <w:rPr>
        <w:rFonts w:ascii="Arial" w:hAnsi="Arial"/>
        <w:sz w:val="16"/>
      </w:rPr>
      <w:t xml:space="preserve">PSYC100 L: Introduction to Psychology  |  Fall 2027  |  Page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54" w:lineRule="auto"/>
    </w:pPr>
    <w:rPr>
      <w:rFonts w:ascii="Arial" w:hAnsi="Arial"/>
      <w:sz w:val="21"/>
    </w:rPr>
  </w:style>
  <w:style w:type="paragraph" w:styleId="Heading1">
    <w:name w:val="heading 1"/>
    <w:basedOn w:val="Normal"/>
    <w:next w:val="Normal"/>
    <w:pPr>
      <w:keepNext/>
      <w:pBdr>
        <w:top w:space="0" w:sz="0" w:val="nil"/>
        <w:left w:space="0" w:sz="0" w:val="nil"/>
        <w:bottom w:space="0" w:sz="0" w:val="nil"/>
        <w:right w:space="0" w:sz="0" w:val="nil"/>
        <w:between w:space="0" w:sz="0" w:val="nil"/>
      </w:pBdr>
      <w:spacing w:before="180" w:after="100"/>
    </w:pPr>
    <w:rPr>
      <w:rFonts w:ascii="Arial" w:hAnsi="Arial"/>
      <w:b/>
      <w:color w:val="000000"/>
      <w:sz w:val="23"/>
      <w:szCs w:val="32"/>
    </w:rPr>
  </w:style>
  <w:style w:type="paragraph" w:styleId="Heading2">
    <w:name w:val="heading 2"/>
    <w:basedOn w:val="Normal"/>
    <w:next w:val="Normal"/>
    <w:pPr>
      <w:keepNext/>
      <w:pBdr>
        <w:top w:space="0" w:sz="0" w:val="nil"/>
        <w:left w:space="0" w:sz="0" w:val="nil"/>
        <w:bottom w:space="0" w:sz="0" w:val="nil"/>
        <w:right w:space="0" w:sz="0" w:val="nil"/>
        <w:between w:space="0" w:sz="0" w:val="nil"/>
      </w:pBdr>
      <w:spacing w:before="180" w:after="100"/>
    </w:pPr>
    <w:rPr>
      <w:rFonts w:ascii="Arial" w:hAnsi="Arial"/>
      <w:b/>
      <w:color w:val="000000"/>
      <w:sz w:val="25"/>
      <w:szCs w:val="26"/>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before="180" w:after="100"/>
    </w:pPr>
    <w:rPr>
      <w:rFonts w:ascii="Arial" w:hAnsi="Arial"/>
      <w:b/>
      <w:color w:val="000000"/>
      <w:sz w:val="23"/>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paragraph" w:styleId="NormalWeb">
    <w:name w:val="Normal (Web)"/>
    <w:basedOn w:val="Normal"/>
    <w:uiPriority w:val="99"/>
    <w:unhideWhenUsed w:val="1"/>
    <w:rsid w:val="004E135E"/>
    <w:pPr>
      <w:spacing w:after="100" w:afterAutospacing="1" w:before="100" w:beforeAutospacing="1"/>
    </w:pPr>
    <w:rPr>
      <w:rFonts w:ascii="Times New Roman" w:cs="Times New Roman" w:eastAsia="Times New Roman" w:hAnsi="Times New Roman"/>
      <w:sz w:val="24"/>
      <w:szCs w:val="24"/>
    </w:rPr>
  </w:style>
  <w:style w:type="character" w:styleId="Strong">
    <w:name w:val="Strong"/>
    <w:basedOn w:val="DefaultParagraphFont"/>
    <w:uiPriority w:val="22"/>
    <w:qFormat w:val="1"/>
    <w:rsid w:val="004E135E"/>
    <w:rPr>
      <w:b w:val="1"/>
      <w:bCs w:val="1"/>
    </w:rPr>
  </w:style>
  <w:style w:type="table" w:styleId="a" w:customStyle="1">
    <w:basedOn w:val="TableNormal"/>
    <w:tblPr>
      <w:tblStyleRowBandSize w:val="1"/>
      <w:tblStyleColBandSize w:val="1"/>
      <w:tblCellMar>
        <w:left w:w="10.0" w:type="dxa"/>
        <w:right w:w="10.0" w:type="dxa"/>
      </w:tblCellMar>
    </w:tblPr>
  </w:style>
  <w:style w:type="table" w:styleId="a0" w:customStyle="1">
    <w:basedOn w:val="TableNormal"/>
    <w:tblPr>
      <w:tblStyleRowBandSize w:val="1"/>
      <w:tblStyleColBandSize w:val="1"/>
      <w:tblCellMar>
        <w:left w:w="10.0" w:type="dxa"/>
        <w:right w:w="10.0" w:type="dxa"/>
      </w:tblCellMar>
    </w:tblPr>
  </w:style>
  <w:style w:type="table" w:styleId="a1" w:customStyle="1">
    <w:basedOn w:val="TableNormal"/>
    <w:tblPr>
      <w:tblStyleRowBandSize w:val="1"/>
      <w:tblStyleColBandSize w:val="1"/>
      <w:tblCellMar>
        <w:left w:w="10.0" w:type="dxa"/>
        <w:right w:w="10.0" w:type="dxa"/>
      </w:tblCellMar>
    </w:tblPr>
  </w:style>
  <w:style w:type="table" w:styleId="a2" w:customStyle="1">
    <w:basedOn w:val="TableNormal"/>
    <w:tblPr>
      <w:tblStyleRowBandSize w:val="1"/>
      <w:tblStyleColBandSize w:val="1"/>
      <w:tblCellMar>
        <w:left w:w="10.0" w:type="dxa"/>
        <w:right w:w="10.0" w:type="dxa"/>
      </w:tblCellMar>
    </w:tblPr>
  </w:style>
  <w:style w:type="table" w:styleId="a3" w:customStyle="1">
    <w:basedOn w:val="TableNormal"/>
    <w:tblPr>
      <w:tblStyleRowBandSize w:val="1"/>
      <w:tblStyleColBandSize w:val="1"/>
      <w:tblCellMar>
        <w:left w:w="10.0" w:type="dxa"/>
        <w:right w:w="10.0" w:type="dxa"/>
      </w:tblCellMar>
    </w:tblPr>
  </w:style>
  <w:style w:type="table" w:styleId="a4" w:customStyle="1">
    <w:basedOn w:val="TableNormal"/>
    <w:tblPr>
      <w:tblStyleRowBandSize w:val="1"/>
      <w:tblStyleColBandSize w:val="1"/>
      <w:tblCellMar>
        <w:left w:w="10.0" w:type="dxa"/>
        <w:right w:w="10.0" w:type="dxa"/>
      </w:tblCellMar>
    </w:tblPr>
  </w:style>
  <w:style w:type="table" w:styleId="a5" w:customStyle="1">
    <w:basedOn w:val="TableNormal"/>
    <w:tblPr>
      <w:tblStyleRowBandSize w:val="1"/>
      <w:tblStyleColBandSize w:val="1"/>
      <w:tblCellMar>
        <w:left w:w="10.0" w:type="dxa"/>
        <w:right w:w="10.0" w:type="dxa"/>
      </w:tblCellMar>
    </w:tblPr>
  </w:style>
  <w:style w:type="table" w:styleId="a6" w:customStyle="1">
    <w:basedOn w:val="TableNormal"/>
    <w:tblPr>
      <w:tblStyleRowBandSize w:val="1"/>
      <w:tblStyleColBandSize w:val="1"/>
      <w:tblCellMar>
        <w:left w:w="10.0" w:type="dxa"/>
        <w:right w:w="10.0" w:type="dxa"/>
      </w:tblCellMar>
    </w:tblPr>
  </w:style>
  <w:style w:type="table" w:styleId="a7" w:customStyle="1">
    <w:basedOn w:val="TableNormal"/>
    <w:tblPr>
      <w:tblStyleRowBandSize w:val="1"/>
      <w:tblStyleColBandSize w:val="1"/>
      <w:tblCellMar>
        <w:left w:w="10.0" w:type="dxa"/>
        <w:right w:w="10.0" w:type="dxa"/>
      </w:tblCellMar>
    </w:tblPr>
  </w:style>
  <w:style w:type="character" w:styleId="UnresolvedMention">
    <w:name w:val="Unresolved Mention"/>
    <w:basedOn w:val="DefaultParagraphFont"/>
    <w:uiPriority w:val="99"/>
    <w:semiHidden w:val="1"/>
    <w:unhideWhenUsed w:val="1"/>
    <w:rsid w:val="00D47B25"/>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raiy@usc.edu" TargetMode="External"/><Relationship Id="rId10" Type="http://schemas.openxmlformats.org/officeDocument/2006/relationships/hyperlink" Target="mailto:lemus@usc.edu" TargetMode="External"/><Relationship Id="rId13" Type="http://schemas.openxmlformats.org/officeDocument/2006/relationships/footer" Target="footer1.xml"/><Relationship Id="rId12" Type="http://schemas.openxmlformats.org/officeDocument/2006/relationships/hyperlink" Target="mailto:jlopez11@usc.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Xavlop@usc.edu" TargetMode="External"/><Relationship Id="rId5" Type="http://schemas.openxmlformats.org/officeDocument/2006/relationships/styles" Target="styles.xml"/><Relationship Id="rId6" Type="http://schemas.openxmlformats.org/officeDocument/2006/relationships/customXml" Target="../customXML/item1.xml"/><Relationship Id="rId8" Type="http://schemas.openxmlformats.org/officeDocument/2006/relationships/hyperlink" Target="mailto:nicxe@usc.edu" TargetMode="External"/><Relationship Id="rId14"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2026-10-10T08:10:00Z</dcterms:created>
  <dc:creator>Jordan Lopez</dc:creator>
  <dc:title>PSYC100 L: Introduction to Psychology — Fall 2027 Syllabus</dc:title>
  <dc:subject>41 lectures, first-week laboratories, and course assessments</dc:subject>
  <cp:keywords>PSYC100 L; Fall 2027; introductory psychology; laboratory</cp:keywords>
  <dc:description>Editable instructor-review course design draft.</dc:description>
</cp:coreProperties>
</file>