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Presupuesto n.º</w:t>
      </w:r>
    </w:p>
    <w:p>
      <w:r>
        <w:rPr>
          <w:b/>
          <w:bCs/>
          <w:color w:val="1D4ED8"/>
        </w:rPr>
        <w:t xml:space="preserve">[[tenant.name]]</w:t>
      </w:r>
      <w:r>
        <w:t xml:space="preserve"> · </w:t>
      </w:r>
      <w:r>
        <w:rPr>
          <w:b/>
          <w:bCs/>
          <w:color w:val="1D4ED8"/>
        </w:rPr>
        <w:t xml:space="preserve">[[tenant.tax_id]]</w:t>
      </w:r>
    </w:p>
    <w:p>
      <w:r>
        <w:t xml:space="preserve">Fecha de emisión: </w:t>
      </w:r>
      <w:r>
        <w:rPr>
          <w:b/>
          <w:bCs/>
          <w:color w:val="1D4ED8"/>
        </w:rPr>
        <w:t xml:space="preserve">[[document.issued_at_display]]</w:t>
      </w:r>
    </w:p>
    <w:p>
      <w:r>
        <w:t xml:space="preserve">Validez hasta: </w:t>
      </w:r>
      <w:r>
        <w:rPr>
          <w:b/>
          <w:bCs/>
          <w:color w:val="1D4ED8"/>
        </w:rPr>
        <w:t xml:space="preserve">[[document.valid_until_display]]</w:t>
      </w:r>
    </w:p>
    <w:p>
      <w:r>
        <w:rPr>
          <w:b/>
          <w:bCs/>
        </w:rPr>
        <w:t xml:space="preserve">Presupuesto n.º </w:t>
      </w:r>
      <w:r>
        <w:rPr>
          <w:b/>
          <w:bCs/>
          <w:color w:val="1D4ED8"/>
        </w:rPr>
        <w:t xml:space="preserve">[[document.doc_number]]</w:t>
      </w:r>
    </w:p>
    <w:p/>
    <w:p>
      <w:r>
        <w:rPr>
          <w:b/>
          <w:bCs/>
        </w:rPr>
        <w:t xml:space="preserve">Emisor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Dirección del servicio</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Concepto</w:t>
            </w:r>
          </w:p>
        </w:tc>
        <w:tc>
          <w:tcPr>
            <w:tcW w:type="dxa" w:w="1000"/>
          </w:tcPr>
          <w:p>
            <w:r>
              <w:rPr>
                <w:b/>
                <w:bCs/>
              </w:rPr>
              <w:t xml:space="preserve">Cant.</w:t>
            </w:r>
          </w:p>
        </w:tc>
        <w:tc>
          <w:tcPr>
            <w:tcW w:type="dxa" w:w="1000"/>
          </w:tcPr>
          <w:p>
            <w:r>
              <w:rPr>
                <w:b/>
                <w:bCs/>
              </w:rPr>
              <w:t xml:space="preserve">Unidad</w:t>
            </w:r>
          </w:p>
        </w:tc>
        <w:tc>
          <w:tcPr>
            <w:tcW w:type="dxa" w:w="1400"/>
          </w:tcPr>
          <w:p>
            <w:r>
              <w:rPr>
                <w:b/>
                <w:bCs/>
              </w:rPr>
              <w:t xml:space="preserve">Precio</w:t>
            </w:r>
          </w:p>
        </w:tc>
        <w:tc>
          <w:tcPr>
            <w:tcW w:type="dxa" w:w="1200"/>
          </w:tcPr>
          <w:p>
            <w:r>
              <w:rPr>
                <w:b/>
                <w:bCs/>
              </w:rPr>
              <w:t xml:space="preserve">Dto. %</w:t>
            </w:r>
          </w:p>
        </w:tc>
        <w:tc>
          <w:tcPr>
            <w:tcW w:type="dxa" w:w="1600"/>
          </w:tcPr>
          <w:p>
            <w:r>
              <w:rPr>
                <w:b/>
                <w:bCs/>
              </w:rPr>
              <w:t xml:space="preserve">Importe</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Condiciones generales</w:t>
      </w:r>
    </w:p>
    <w:p>
      <w:r>
        <w:t xml:space="preserve">Este presupuesto tiene una validez de 30 días desde la fecha de emisión, salvo indicación en contrario. Los precios incluyen el IVA aplicable. Cualquier concepto no incluido en este presupuesto que aparezca durante la ejecución del servicio será objeto de una ampliación de presupuesto, que deberá ser aceptada antes de su ejecución y cobro, de acuerdo con la normativa de protección de las personas consumidoras. Para cualquier controversia, las partes se someten a los juzgados y tribunales que correspondan por ley.</w:t>
      </w:r>
    </w:p>
    <w:p>
      <w:r>
        <w:t xml:space="preserve">Los desplazamientos, urgencias o intervenciones fuera de horario habitual se facturan como línea propia e identificable en este presupuesto, nunca como recargo improvisado.</w:t>
      </w:r>
    </w:p>
    <w:p/>
    <w:p>
      <w:pPr>
        <w:pStyle w:val="Heading2"/>
      </w:pPr>
      <w:r>
        <w:t xml:space="preserve">Aceptación</w:t>
      </w:r>
    </w:p>
    <w:p>
      <w:r>
        <w:t xml:space="preserve">Hay que firmar una de las dos casillas (mismo tamaño).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Acepto</w:t>
            </w:r>
          </w:p>
          <w:p>
            <w:r>
              <w:rPr>
                <w:b/>
                <w:bCs/>
                <w:color w:val="7C3AED"/>
              </w:rPr>
              <w:t xml:space="preserve">{{Accepto;type=signature;role=client_accept}}</w:t>
            </w:r>
          </w:p>
        </w:tc>
        <w:tc>
          <w:tcPr>
            <w:tcW w:type="dxa" w:w="4500"/>
          </w:tcPr>
          <w:p>
            <w:r>
              <w:rPr>
                <w:b/>
                <w:bCs/>
              </w:rPr>
              <w:t xml:space="preserve">Rechazo</w:t>
            </w:r>
          </w:p>
          <w:p>
            <w:r>
              <w:rPr>
                <w:b/>
                <w:bCs/>
                <w:color w:val="7C3AED"/>
              </w:rPr>
              <w:t xml:space="preserve">{{Refuso;type=signature;role=client_reject}}</w:t>
            </w:r>
          </w:p>
        </w:tc>
      </w:tr>
    </w:tbl>
    <w:p/>
    <w:p>
      <w:pPr>
        <w:pStyle w:val="Heading2"/>
      </w:pPr>
      <w:r>
        <w:t xml:space="preserve">Protección de datos</w:t>
      </w:r>
    </w:p>
    <w:p>
      <w:r>
        <w:t xml:space="preserve">Los datos facilitados se tratan con la finalidad de gestionar este presupuesto y, en su caso, la relación contractual derivada. Se conservan durante un mínimo de seis meses desde la no aceptación o desde el fin del servicio. Puede ejercer sus derechos de acceso, rectificación y supresión dirigiéndose a </w:t>
      </w:r>
      <w:r>
        <w:rPr>
          <w:b/>
          <w:bCs/>
          <w:color w:val="1D4ED8"/>
        </w:rPr>
        <w:t xml:space="preserve">[[tenant.email]]</w:t>
      </w:r>
      <w:r>
        <w:t xml:space="preserve">.</w:t>
      </w:r>
    </w:p>
    <w:p/>
    <w:p>
      <w:r>
        <w:t xml:space="preserve">Documento generado por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servei de camp (DOCX)</dc:title>
  <dc:creator>App Seed Script</dc:creator>
  <dc:description>Pressupost DOCX per a serveis a domicili o en ruta, amb clàusula de desplaçaments/urgències com a línia pròpia.</dc:description>
  <cp:lastModifiedBy>Un-named</cp:lastModifiedBy>
  <cp:revision>1</cp:revision>
  <dcterms:created xsi:type="dcterms:W3CDTF">2026-10-13T07:38:17.289Z</dcterms:created>
  <dcterms:modified xsi:type="dcterms:W3CDTF">2026-10-13T07:38:17.289Z</dcterms:modified>
</cp:coreProperties>
</file>

<file path=docProps/custom.xml><?xml version="1.0" encoding="utf-8"?>
<Properties xmlns="http://schemas.openxmlformats.org/officeDocument/2006/custom-properties" xmlns:vt="http://schemas.openxmlformats.org/officeDocument/2006/docPropsVTypes"/>
</file>