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8f2d33875e7b9f6519dc728c5bc3fa4c28235ae"/>
    <w:p>
      <w:pPr>
        <w:pStyle w:val="Heading1"/>
      </w:pPr>
      <w:r>
        <w:t xml:space="preserve">Responses to all Word comments — recalculated analysis</w:t>
      </w:r>
    </w:p>
    <w:p>
      <w:pPr>
        <w:pStyle w:val="FirstParagraph"/>
      </w:pPr>
      <w:r>
        <w:t xml:space="preserve">All replies below refer to the completed reanalysis directory containing this document. Original comment IDs are preserved (zero-based). The source Word files were not edited in place.</w:t>
      </w:r>
    </w:p>
    <w:bookmarkStart w:id="20" w:name="current-analysis-populations"/>
    <w:p>
      <w:pPr>
        <w:pStyle w:val="Heading2"/>
      </w:pPr>
      <w:r>
        <w:t xml:space="preserve">Current analysis populations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label</w:t>
            </w:r>
          </w:p>
        </w:tc>
        <w:tc>
          <w:tcPr/>
          <w:p>
            <w:pPr>
              <w:pStyle w:val="Compact"/>
              <w:jc w:val="left"/>
            </w:pPr>
            <w:r>
              <w:t xml:space="preserve">eligible_n</w:t>
            </w:r>
          </w:p>
        </w:tc>
        <w:tc>
          <w:tcPr/>
          <w:p>
            <w:pPr>
              <w:pStyle w:val="Compact"/>
              <w:jc w:val="left"/>
            </w:pPr>
            <w:r>
              <w:t xml:space="preserve">development_complete_n</w:t>
            </w:r>
          </w:p>
        </w:tc>
        <w:tc>
          <w:tcPr/>
          <w:p>
            <w:pPr>
              <w:pStyle w:val="Compact"/>
              <w:jc w:val="left"/>
            </w:pPr>
            <w:r>
              <w:t xml:space="preserve">temporal_complete_n</w:t>
            </w:r>
          </w:p>
        </w:tc>
        <w:tc>
          <w:tcPr/>
          <w:p>
            <w:pPr>
              <w:pStyle w:val="Compact"/>
              <w:jc w:val="left"/>
            </w:pPr>
            <w:r>
              <w:t xml:space="preserve">missing_excluded_n</w:t>
            </w:r>
          </w:p>
        </w:tc>
      </w:tr>
      <w:tr>
        <w:tc>
          <w:tcPr/>
          <w:p>
            <w:pPr>
              <w:pStyle w:val="Compact"/>
              <w:jc w:val="left"/>
            </w:pPr>
            <w:r>
              <w:t xml:space="preserve">Composite thrombophilia</w:t>
            </w:r>
          </w:p>
        </w:tc>
        <w:tc>
          <w:tcPr/>
          <w:p>
            <w:pPr>
              <w:pStyle w:val="Compact"/>
              <w:jc w:val="left"/>
            </w:pPr>
            <w:r>
              <w:t xml:space="preserve">22847</w:t>
            </w:r>
          </w:p>
        </w:tc>
        <w:tc>
          <w:tcPr/>
          <w:p>
            <w:pPr>
              <w:pStyle w:val="Compact"/>
              <w:jc w:val="left"/>
            </w:pPr>
            <w:r>
              <w:t xml:space="preserve">7209</w:t>
            </w:r>
          </w:p>
        </w:tc>
        <w:tc>
          <w:tcPr/>
          <w:p>
            <w:pPr>
              <w:pStyle w:val="Compact"/>
              <w:jc w:val="left"/>
            </w:pPr>
            <w:r>
              <w:t xml:space="preserve">423</w:t>
            </w:r>
          </w:p>
        </w:tc>
        <w:tc>
          <w:tcPr/>
          <w:p>
            <w:pPr>
              <w:pStyle w:val="Compact"/>
              <w:jc w:val="left"/>
            </w:pPr>
            <w:r>
              <w:t xml:space="preserve">15215</w:t>
            </w:r>
          </w:p>
        </w:tc>
      </w:tr>
      <w:tr>
        <w:tc>
          <w:tcPr/>
          <w:p>
            <w:pPr>
              <w:pStyle w:val="Compact"/>
              <w:jc w:val="left"/>
            </w:pPr>
            <w:r>
              <w:t xml:space="preserve">Factor V Leiden</w:t>
            </w:r>
          </w:p>
        </w:tc>
        <w:tc>
          <w:tcPr/>
          <w:p>
            <w:pPr>
              <w:pStyle w:val="Compact"/>
              <w:jc w:val="left"/>
            </w:pPr>
            <w:r>
              <w:t xml:space="preserve">10618</w:t>
            </w:r>
          </w:p>
        </w:tc>
        <w:tc>
          <w:tcPr/>
          <w:p>
            <w:pPr>
              <w:pStyle w:val="Compact"/>
              <w:jc w:val="left"/>
            </w:pPr>
            <w:r>
              <w:t xml:space="preserve">5864</w:t>
            </w:r>
          </w:p>
        </w:tc>
        <w:tc>
          <w:tcPr/>
          <w:p>
            <w:pPr>
              <w:pStyle w:val="Compact"/>
              <w:jc w:val="left"/>
            </w:pPr>
            <w:r>
              <w:t xml:space="preserve">102</w:t>
            </w:r>
          </w:p>
        </w:tc>
        <w:tc>
          <w:tcPr/>
          <w:p>
            <w:pPr>
              <w:pStyle w:val="Compact"/>
              <w:jc w:val="left"/>
            </w:pPr>
            <w:r>
              <w:t xml:space="preserve">4652</w:t>
            </w:r>
          </w:p>
        </w:tc>
      </w:tr>
      <w:tr>
        <w:tc>
          <w:tcPr/>
          <w:p>
            <w:pPr>
              <w:pStyle w:val="Compact"/>
              <w:jc w:val="left"/>
            </w:pPr>
            <w:r>
              <w:t xml:space="preserve">Prothrombin G20210A</w:t>
            </w:r>
          </w:p>
        </w:tc>
        <w:tc>
          <w:tcPr/>
          <w:p>
            <w:pPr>
              <w:pStyle w:val="Compact"/>
              <w:jc w:val="left"/>
            </w:pPr>
            <w:r>
              <w:t xml:space="preserve">10356</w:t>
            </w:r>
          </w:p>
        </w:tc>
        <w:tc>
          <w:tcPr/>
          <w:p>
            <w:pPr>
              <w:pStyle w:val="Compact"/>
              <w:jc w:val="left"/>
            </w:pPr>
            <w:r>
              <w:t xml:space="preserve">5758</w:t>
            </w:r>
          </w:p>
        </w:tc>
        <w:tc>
          <w:tcPr/>
          <w:p>
            <w:pPr>
              <w:pStyle w:val="Compact"/>
              <w:jc w:val="left"/>
            </w:pPr>
            <w:r>
              <w:t xml:space="preserve">93</w:t>
            </w:r>
          </w:p>
        </w:tc>
        <w:tc>
          <w:tcPr/>
          <w:p>
            <w:pPr>
              <w:pStyle w:val="Compact"/>
              <w:jc w:val="left"/>
            </w:pPr>
            <w:r>
              <w:t xml:space="preserve">4505</w:t>
            </w:r>
          </w:p>
        </w:tc>
      </w:tr>
      <w:tr>
        <w:tc>
          <w:tcPr/>
          <w:p>
            <w:pPr>
              <w:pStyle w:val="Compact"/>
              <w:jc w:val="left"/>
            </w:pPr>
            <w:r>
              <w:t xml:space="preserve">Registry-coded APS</w:t>
            </w:r>
          </w:p>
        </w:tc>
        <w:tc>
          <w:tcPr/>
          <w:p>
            <w:pPr>
              <w:pStyle w:val="Compact"/>
              <w:jc w:val="left"/>
            </w:pPr>
            <w:r>
              <w:t xml:space="preserve">10685</w:t>
            </w:r>
          </w:p>
        </w:tc>
        <w:tc>
          <w:tcPr/>
          <w:p>
            <w:pPr>
              <w:pStyle w:val="Compact"/>
              <w:jc w:val="left"/>
            </w:pPr>
            <w:r>
              <w:t xml:space="preserve">5866</w:t>
            </w:r>
          </w:p>
        </w:tc>
        <w:tc>
          <w:tcPr/>
          <w:p>
            <w:pPr>
              <w:pStyle w:val="Compact"/>
              <w:jc w:val="left"/>
            </w:pPr>
            <w:r>
              <w:t xml:space="preserve">115</w:t>
            </w:r>
          </w:p>
        </w:tc>
        <w:tc>
          <w:tcPr/>
          <w:p>
            <w:pPr>
              <w:pStyle w:val="Compact"/>
              <w:jc w:val="left"/>
            </w:pPr>
            <w:r>
              <w:t xml:space="preserve">4704</w:t>
            </w:r>
          </w:p>
        </w:tc>
      </w:tr>
      <w:tr>
        <w:tc>
          <w:tcPr/>
          <w:p>
            <w:pPr>
              <w:pStyle w:val="Compact"/>
              <w:jc w:val="left"/>
            </w:pPr>
            <w:r>
              <w:t xml:space="preserve">Protein S deficiency</w:t>
            </w:r>
          </w:p>
        </w:tc>
        <w:tc>
          <w:tcPr/>
          <w:p>
            <w:pPr>
              <w:pStyle w:val="Compact"/>
              <w:jc w:val="left"/>
            </w:pPr>
            <w:r>
              <w:t xml:space="preserve">10295</w:t>
            </w:r>
          </w:p>
        </w:tc>
        <w:tc>
          <w:tcPr/>
          <w:p>
            <w:pPr>
              <w:pStyle w:val="Compact"/>
              <w:jc w:val="left"/>
            </w:pPr>
            <w:r>
              <w:t xml:space="preserve">5723</w:t>
            </w:r>
          </w:p>
        </w:tc>
        <w:tc>
          <w:tcPr/>
          <w:p>
            <w:pPr>
              <w:pStyle w:val="Compact"/>
              <w:jc w:val="left"/>
            </w:pPr>
            <w:r>
              <w:t xml:space="preserve">102</w:t>
            </w:r>
          </w:p>
        </w:tc>
        <w:tc>
          <w:tcPr/>
          <w:p>
            <w:pPr>
              <w:pStyle w:val="Compact"/>
              <w:jc w:val="left"/>
            </w:pPr>
            <w:r>
              <w:t xml:space="preserve">4470</w:t>
            </w:r>
          </w:p>
        </w:tc>
      </w:tr>
      <w:tr>
        <w:tc>
          <w:tcPr/>
          <w:p>
            <w:pPr>
              <w:pStyle w:val="Compact"/>
              <w:jc w:val="left"/>
            </w:pPr>
            <w:r>
              <w:t xml:space="preserve">Protein C deficiency</w:t>
            </w:r>
          </w:p>
        </w:tc>
        <w:tc>
          <w:tcPr/>
          <w:p>
            <w:pPr>
              <w:pStyle w:val="Compact"/>
              <w:jc w:val="left"/>
            </w:pPr>
            <w:r>
              <w:t xml:space="preserve">10255</w:t>
            </w:r>
          </w:p>
        </w:tc>
        <w:tc>
          <w:tcPr/>
          <w:p>
            <w:pPr>
              <w:pStyle w:val="Compact"/>
              <w:jc w:val="left"/>
            </w:pPr>
            <w:r>
              <w:t xml:space="preserve">5711</w:t>
            </w:r>
          </w:p>
        </w:tc>
        <w:tc>
          <w:tcPr/>
          <w:p>
            <w:pPr>
              <w:pStyle w:val="Compact"/>
              <w:jc w:val="left"/>
            </w:pPr>
            <w:r>
              <w:t xml:space="preserve">95</w:t>
            </w:r>
          </w:p>
        </w:tc>
        <w:tc>
          <w:tcPr/>
          <w:p>
            <w:pPr>
              <w:pStyle w:val="Compact"/>
              <w:jc w:val="left"/>
            </w:pPr>
            <w:r>
              <w:t xml:space="preserve">4449</w:t>
            </w:r>
          </w:p>
        </w:tc>
      </w:tr>
      <w:tr>
        <w:tc>
          <w:tcPr/>
          <w:p>
            <w:pPr>
              <w:pStyle w:val="Compact"/>
              <w:jc w:val="left"/>
            </w:pPr>
            <w:r>
              <w:t xml:space="preserve">Antithrombin deficiency</w:t>
            </w:r>
          </w:p>
        </w:tc>
        <w:tc>
          <w:tcPr/>
          <w:p>
            <w:pPr>
              <w:pStyle w:val="Compact"/>
              <w:jc w:val="left"/>
            </w:pPr>
            <w:r>
              <w:t xml:space="preserve">10313</w:t>
            </w:r>
          </w:p>
        </w:tc>
        <w:tc>
          <w:tcPr/>
          <w:p>
            <w:pPr>
              <w:pStyle w:val="Compact"/>
              <w:jc w:val="left"/>
            </w:pPr>
            <w:r>
              <w:t xml:space="preserve">5742</w:t>
            </w:r>
          </w:p>
        </w:tc>
        <w:tc>
          <w:tcPr/>
          <w:p>
            <w:pPr>
              <w:pStyle w:val="Compact"/>
              <w:jc w:val="left"/>
            </w:pPr>
            <w:r>
              <w:t xml:space="preserve">98</w:t>
            </w:r>
          </w:p>
        </w:tc>
        <w:tc>
          <w:tcPr/>
          <w:p>
            <w:pPr>
              <w:pStyle w:val="Compact"/>
              <w:jc w:val="left"/>
            </w:pPr>
            <w:r>
              <w:t xml:space="preserve">4473</w:t>
            </w:r>
          </w:p>
        </w:tc>
      </w:tr>
      <w:tr>
        <w:tc>
          <w:tcPr/>
          <w:p>
            <w:pPr>
              <w:pStyle w:val="Compact"/>
              <w:jc w:val="left"/>
            </w:pPr>
            <w:r>
              <w:t xml:space="preserve">JAK2 mutation</w:t>
            </w:r>
          </w:p>
        </w:tc>
        <w:tc>
          <w:tcPr/>
          <w:p>
            <w:pPr>
              <w:pStyle w:val="Compact"/>
              <w:jc w:val="left"/>
            </w:pPr>
            <w:r>
              <w:t xml:space="preserve">2239</w:t>
            </w:r>
          </w:p>
        </w:tc>
        <w:tc>
          <w:tcPr/>
          <w:p>
            <w:pPr>
              <w:pStyle w:val="Compact"/>
              <w:jc w:val="left"/>
            </w:pPr>
            <w:r>
              <w:t xml:space="preserve">648</w:t>
            </w:r>
          </w:p>
        </w:tc>
        <w:tc>
          <w:tcPr/>
          <w:p>
            <w:pPr>
              <w:pStyle w:val="Compact"/>
              <w:jc w:val="left"/>
            </w:pPr>
            <w:r>
              <w:t xml:space="preserve">54</w:t>
            </w:r>
          </w:p>
        </w:tc>
        <w:tc>
          <w:tcPr/>
          <w:p>
            <w:pPr>
              <w:pStyle w:val="Compact"/>
              <w:jc w:val="left"/>
            </w:pPr>
            <w:r>
              <w:t xml:space="preserve">1537</w:t>
            </w:r>
          </w:p>
        </w:tc>
      </w:tr>
    </w:tbl>
    <w:bookmarkEnd w:id="20"/>
    <w:bookmarkStart w:id="21" w:name="current-primary-performance"/>
    <w:p>
      <w:pPr>
        <w:pStyle w:val="Heading2"/>
      </w:pPr>
      <w:r>
        <w:t xml:space="preserve">Current primary performance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Outcome</w:t>
            </w:r>
          </w:p>
        </w:tc>
        <w:tc>
          <w:tcPr/>
          <w:p>
            <w:pPr>
              <w:pStyle w:val="Compact"/>
              <w:jc w:val="left"/>
            </w:pPr>
            <w:r>
              <w:t xml:space="preserve">Model</w:t>
            </w:r>
          </w:p>
        </w:tc>
        <w:tc>
          <w:tcPr/>
          <w:p>
            <w:pPr>
              <w:pStyle w:val="Compact"/>
              <w:jc w:val="left"/>
            </w:pPr>
            <w:r>
              <w:t xml:space="preserve">N</w:t>
            </w:r>
          </w:p>
        </w:tc>
        <w:tc>
          <w:tcPr/>
          <w:p>
            <w:pPr>
              <w:pStyle w:val="Compact"/>
              <w:jc w:val="left"/>
            </w:pPr>
            <w:r>
              <w:t xml:space="preserve">Positive</w:t>
            </w:r>
          </w:p>
        </w:tc>
        <w:tc>
          <w:tcPr/>
          <w:p>
            <w:pPr>
              <w:pStyle w:val="Compact"/>
              <w:jc w:val="left"/>
            </w:pPr>
            <w:r>
              <w:t xml:space="preserve">AUC_95CI</w:t>
            </w:r>
          </w:p>
        </w:tc>
        <w:tc>
          <w:tcPr/>
          <w:p>
            <w:pPr>
              <w:pStyle w:val="Compact"/>
              <w:jc w:val="left"/>
            </w:pPr>
            <w:r>
              <w:t xml:space="preserve">Sensitivity</w:t>
            </w:r>
          </w:p>
        </w:tc>
        <w:tc>
          <w:tcPr/>
          <w:p>
            <w:pPr>
              <w:pStyle w:val="Compact"/>
              <w:jc w:val="left"/>
            </w:pPr>
            <w:r>
              <w:t xml:space="preserve">Specificity</w:t>
            </w:r>
          </w:p>
        </w:tc>
        <w:tc>
          <w:tcPr/>
          <w:p>
            <w:pPr>
              <w:pStyle w:val="Compact"/>
              <w:jc w:val="left"/>
            </w:pPr>
            <w:r>
              <w:t xml:space="preserve">PPV</w:t>
            </w:r>
          </w:p>
        </w:tc>
        <w:tc>
          <w:tcPr/>
          <w:p>
            <w:pPr>
              <w:pStyle w:val="Compact"/>
              <w:jc w:val="left"/>
            </w:pPr>
            <w:r>
              <w:t xml:space="preserve">NPV</w:t>
            </w:r>
          </w:p>
        </w:tc>
        <w:tc>
          <w:tcPr/>
          <w:p>
            <w:pPr>
              <w:pStyle w:val="Compact"/>
              <w:jc w:val="left"/>
            </w:pPr>
            <w:r>
              <w:t xml:space="preserve">Avoided_per_1000</w:t>
            </w:r>
          </w:p>
        </w:tc>
        <w:tc>
          <w:tcPr/>
          <w:p>
            <w:pPr>
              <w:pStyle w:val="Compact"/>
              <w:jc w:val="left"/>
            </w:pPr>
            <w:r>
              <w:t xml:space="preserve">Missed_per_1000</w:t>
            </w:r>
          </w:p>
        </w:tc>
      </w:tr>
      <w:tr>
        <w:tc>
          <w:tcPr/>
          <w:p>
            <w:pPr>
              <w:pStyle w:val="Compact"/>
              <w:jc w:val="left"/>
            </w:pPr>
            <w:r>
              <w:t xml:space="preserve">Composite thrombophilia</w:t>
            </w:r>
          </w:p>
        </w:tc>
        <w:tc>
          <w:tcPr/>
          <w:p>
            <w:pPr>
              <w:pStyle w:val="Compact"/>
              <w:jc w:val="left"/>
            </w:pPr>
            <w:r>
              <w:t xml:space="preserve">Logistic LASSO</w:t>
            </w:r>
          </w:p>
        </w:tc>
        <w:tc>
          <w:tcPr/>
          <w:p>
            <w:pPr>
              <w:pStyle w:val="Compact"/>
              <w:jc w:val="left"/>
            </w:pPr>
            <w:r>
              <w:t xml:space="preserve">7209</w:t>
            </w:r>
          </w:p>
        </w:tc>
        <w:tc>
          <w:tcPr/>
          <w:p>
            <w:pPr>
              <w:pStyle w:val="Compact"/>
              <w:jc w:val="left"/>
            </w:pPr>
            <w:r>
              <w:t xml:space="preserve">2801</w:t>
            </w:r>
          </w:p>
        </w:tc>
        <w:tc>
          <w:tcPr/>
          <w:p>
            <w:pPr>
              <w:pStyle w:val="Compact"/>
              <w:jc w:val="left"/>
            </w:pPr>
            <w:r>
              <w:t xml:space="preserve">0.584 [0.571, 0.596]</w:t>
            </w:r>
          </w:p>
        </w:tc>
        <w:tc>
          <w:tcPr/>
          <w:p>
            <w:pPr>
              <w:pStyle w:val="Compact"/>
              <w:jc w:val="left"/>
            </w:pPr>
            <w:r>
              <w:t xml:space="preserve">90.3%</w:t>
            </w:r>
          </w:p>
        </w:tc>
        <w:tc>
          <w:tcPr/>
          <w:p>
            <w:pPr>
              <w:pStyle w:val="Compact"/>
              <w:jc w:val="left"/>
            </w:pPr>
            <w:r>
              <w:t xml:space="preserve">16.1%</w:t>
            </w:r>
          </w:p>
        </w:tc>
        <w:tc>
          <w:tcPr/>
          <w:p>
            <w:pPr>
              <w:pStyle w:val="Compact"/>
              <w:jc w:val="left"/>
            </w:pPr>
            <w:r>
              <w:t xml:space="preserve">40.6%</w:t>
            </w:r>
          </w:p>
        </w:tc>
        <w:tc>
          <w:tcPr/>
          <w:p>
            <w:pPr>
              <w:pStyle w:val="Compact"/>
              <w:jc w:val="left"/>
            </w:pPr>
            <w:r>
              <w:t xml:space="preserve">72.2%</w:t>
            </w:r>
          </w:p>
        </w:tc>
        <w:tc>
          <w:tcPr/>
          <w:p>
            <w:pPr>
              <w:pStyle w:val="Compact"/>
              <w:jc w:val="left"/>
            </w:pPr>
            <w:r>
              <w:t xml:space="preserve">136.400</w:t>
            </w:r>
          </w:p>
        </w:tc>
        <w:tc>
          <w:tcPr/>
          <w:p>
            <w:pPr>
              <w:pStyle w:val="Compact"/>
              <w:jc w:val="left"/>
            </w:pPr>
            <w:r>
              <w:t xml:space="preserve">37.900</w:t>
            </w:r>
          </w:p>
        </w:tc>
      </w:tr>
      <w:tr>
        <w:tc>
          <w:tcPr/>
          <w:p>
            <w:pPr>
              <w:pStyle w:val="Compact"/>
              <w:jc w:val="left"/>
            </w:pPr>
            <w:r>
              <w:t xml:space="preserve">Composite thrombophilia</w:t>
            </w:r>
          </w:p>
        </w:tc>
        <w:tc>
          <w:tcPr/>
          <w:p>
            <w:pPr>
              <w:pStyle w:val="Compact"/>
              <w:jc w:val="left"/>
            </w:pPr>
            <w:r>
              <w:t xml:space="preserve">Automatic integer score</w:t>
            </w:r>
          </w:p>
        </w:tc>
        <w:tc>
          <w:tcPr/>
          <w:p>
            <w:pPr>
              <w:pStyle w:val="Compact"/>
              <w:jc w:val="left"/>
            </w:pPr>
            <w:r>
              <w:t xml:space="preserve">7209</w:t>
            </w:r>
          </w:p>
        </w:tc>
        <w:tc>
          <w:tcPr/>
          <w:p>
            <w:pPr>
              <w:pStyle w:val="Compact"/>
              <w:jc w:val="left"/>
            </w:pPr>
            <w:r>
              <w:t xml:space="preserve">2801</w:t>
            </w:r>
          </w:p>
        </w:tc>
        <w:tc>
          <w:tcPr/>
          <w:p>
            <w:pPr>
              <w:pStyle w:val="Compact"/>
              <w:jc w:val="left"/>
            </w:pPr>
            <w:r>
              <w:t xml:space="preserve">0.584 [0.571, 0.596]</w:t>
            </w:r>
          </w:p>
        </w:tc>
        <w:tc>
          <w:tcPr/>
          <w:p>
            <w:pPr>
              <w:pStyle w:val="Compact"/>
              <w:jc w:val="left"/>
            </w:pPr>
            <w:r>
              <w:t xml:space="preserve">90.1%</w:t>
            </w:r>
          </w:p>
        </w:tc>
        <w:tc>
          <w:tcPr/>
          <w:p>
            <w:pPr>
              <w:pStyle w:val="Compact"/>
              <w:jc w:val="left"/>
            </w:pPr>
            <w:r>
              <w:t xml:space="preserve">16.3%</w:t>
            </w:r>
          </w:p>
        </w:tc>
        <w:tc>
          <w:tcPr/>
          <w:p>
            <w:pPr>
              <w:pStyle w:val="Compact"/>
              <w:jc w:val="left"/>
            </w:pPr>
            <w:r>
              <w:t xml:space="preserve">40.6%</w:t>
            </w:r>
          </w:p>
        </w:tc>
        <w:tc>
          <w:tcPr/>
          <w:p>
            <w:pPr>
              <w:pStyle w:val="Compact"/>
              <w:jc w:val="left"/>
            </w:pPr>
            <w:r>
              <w:t xml:space="preserve">72.1%</w:t>
            </w:r>
          </w:p>
        </w:tc>
        <w:tc>
          <w:tcPr/>
          <w:p>
            <w:pPr>
              <w:pStyle w:val="Compact"/>
              <w:jc w:val="left"/>
            </w:pPr>
            <w:r>
              <w:t xml:space="preserve">138.000</w:t>
            </w:r>
          </w:p>
        </w:tc>
        <w:tc>
          <w:tcPr/>
          <w:p>
            <w:pPr>
              <w:pStyle w:val="Compact"/>
              <w:jc w:val="left"/>
            </w:pPr>
            <w:r>
              <w:t xml:space="preserve">38.600</w:t>
            </w:r>
          </w:p>
        </w:tc>
      </w:tr>
      <w:tr>
        <w:tc>
          <w:tcPr/>
          <w:p>
            <w:pPr>
              <w:pStyle w:val="Compact"/>
              <w:jc w:val="left"/>
            </w:pPr>
            <w:r>
              <w:t xml:space="preserve">Composite thrombophilia</w:t>
            </w:r>
          </w:p>
        </w:tc>
        <w:tc>
          <w:tcPr/>
          <w:p>
            <w:pPr>
              <w:pStyle w:val="Compact"/>
              <w:jc w:val="left"/>
            </w:pPr>
            <w:r>
              <w:t xml:space="preserve">XGBoost</w:t>
            </w:r>
          </w:p>
        </w:tc>
        <w:tc>
          <w:tcPr/>
          <w:p>
            <w:pPr>
              <w:pStyle w:val="Compact"/>
              <w:jc w:val="left"/>
            </w:pPr>
            <w:r>
              <w:t xml:space="preserve">7209</w:t>
            </w:r>
          </w:p>
        </w:tc>
        <w:tc>
          <w:tcPr/>
          <w:p>
            <w:pPr>
              <w:pStyle w:val="Compact"/>
              <w:jc w:val="left"/>
            </w:pPr>
            <w:r>
              <w:t xml:space="preserve">2801</w:t>
            </w:r>
          </w:p>
        </w:tc>
        <w:tc>
          <w:tcPr/>
          <w:p>
            <w:pPr>
              <w:pStyle w:val="Compact"/>
              <w:jc w:val="left"/>
            </w:pPr>
            <w:r>
              <w:t xml:space="preserve">0.591 [0.578, 0.605]</w:t>
            </w:r>
          </w:p>
        </w:tc>
        <w:tc>
          <w:tcPr/>
          <w:p>
            <w:pPr>
              <w:pStyle w:val="Compact"/>
              <w:jc w:val="left"/>
            </w:pPr>
            <w:r>
              <w:t xml:space="preserve">90.8%</w:t>
            </w:r>
          </w:p>
        </w:tc>
        <w:tc>
          <w:tcPr/>
          <w:p>
            <w:pPr>
              <w:pStyle w:val="Compact"/>
              <w:jc w:val="left"/>
            </w:pPr>
            <w:r>
              <w:t xml:space="preserve">16.8%</w:t>
            </w:r>
          </w:p>
        </w:tc>
        <w:tc>
          <w:tcPr/>
          <w:p>
            <w:pPr>
              <w:pStyle w:val="Compact"/>
              <w:jc w:val="left"/>
            </w:pPr>
            <w:r>
              <w:t xml:space="preserve">40.9%</w:t>
            </w:r>
          </w:p>
        </w:tc>
        <w:tc>
          <w:tcPr/>
          <w:p>
            <w:pPr>
              <w:pStyle w:val="Compact"/>
              <w:jc w:val="left"/>
            </w:pPr>
            <w:r>
              <w:t xml:space="preserve">74.0%</w:t>
            </w:r>
          </w:p>
        </w:tc>
        <w:tc>
          <w:tcPr/>
          <w:p>
            <w:pPr>
              <w:pStyle w:val="Compact"/>
              <w:jc w:val="left"/>
            </w:pPr>
            <w:r>
              <w:t xml:space="preserve">138.400</w:t>
            </w:r>
          </w:p>
        </w:tc>
        <w:tc>
          <w:tcPr/>
          <w:p>
            <w:pPr>
              <w:pStyle w:val="Compact"/>
              <w:jc w:val="left"/>
            </w:pPr>
            <w:r>
              <w:t xml:space="preserve">35.900</w:t>
            </w:r>
          </w:p>
        </w:tc>
      </w:tr>
      <w:tr>
        <w:tc>
          <w:tcPr/>
          <w:p>
            <w:pPr>
              <w:pStyle w:val="Compact"/>
              <w:jc w:val="left"/>
            </w:pPr>
            <w:r>
              <w:t xml:space="preserve">Factor V Leiden</w:t>
            </w:r>
          </w:p>
        </w:tc>
        <w:tc>
          <w:tcPr/>
          <w:p>
            <w:pPr>
              <w:pStyle w:val="Compact"/>
              <w:jc w:val="left"/>
            </w:pPr>
            <w:r>
              <w:t xml:space="preserve">Logistic LASSO</w:t>
            </w:r>
          </w:p>
        </w:tc>
        <w:tc>
          <w:tcPr/>
          <w:p>
            <w:pPr>
              <w:pStyle w:val="Compact"/>
              <w:jc w:val="left"/>
            </w:pPr>
            <w:r>
              <w:t xml:space="preserve">5864</w:t>
            </w:r>
          </w:p>
        </w:tc>
        <w:tc>
          <w:tcPr/>
          <w:p>
            <w:pPr>
              <w:pStyle w:val="Compact"/>
              <w:jc w:val="left"/>
            </w:pPr>
            <w:r>
              <w:t xml:space="preserve">1167</w:t>
            </w:r>
          </w:p>
        </w:tc>
        <w:tc>
          <w:tcPr/>
          <w:p>
            <w:pPr>
              <w:pStyle w:val="Compact"/>
              <w:jc w:val="left"/>
            </w:pPr>
            <w:r>
              <w:t xml:space="preserve">0.623 [0.607, 0.642]</w:t>
            </w:r>
          </w:p>
        </w:tc>
        <w:tc>
          <w:tcPr/>
          <w:p>
            <w:pPr>
              <w:pStyle w:val="Compact"/>
              <w:jc w:val="left"/>
            </w:pPr>
            <w:r>
              <w:t xml:space="preserve">90.0%</w:t>
            </w:r>
          </w:p>
        </w:tc>
        <w:tc>
          <w:tcPr/>
          <w:p>
            <w:pPr>
              <w:pStyle w:val="Compact"/>
              <w:jc w:val="left"/>
            </w:pPr>
            <w:r>
              <w:t xml:space="preserve">19.1%</w:t>
            </w:r>
          </w:p>
        </w:tc>
        <w:tc>
          <w:tcPr/>
          <w:p>
            <w:pPr>
              <w:pStyle w:val="Compact"/>
              <w:jc w:val="left"/>
            </w:pPr>
            <w:r>
              <w:t xml:space="preserve">21.7%</w:t>
            </w:r>
          </w:p>
        </w:tc>
        <w:tc>
          <w:tcPr/>
          <w:p>
            <w:pPr>
              <w:pStyle w:val="Compact"/>
              <w:jc w:val="left"/>
            </w:pPr>
            <w:r>
              <w:t xml:space="preserve">88.5%</w:t>
            </w:r>
          </w:p>
        </w:tc>
        <w:tc>
          <w:tcPr/>
          <w:p>
            <w:pPr>
              <w:pStyle w:val="Compact"/>
              <w:jc w:val="left"/>
            </w:pPr>
            <w:r>
              <w:t xml:space="preserve">173.100</w:t>
            </w:r>
          </w:p>
        </w:tc>
        <w:tc>
          <w:tcPr/>
          <w:p>
            <w:pPr>
              <w:pStyle w:val="Compact"/>
              <w:jc w:val="left"/>
            </w:pPr>
            <w:r>
              <w:t xml:space="preserve">20.000</w:t>
            </w:r>
          </w:p>
        </w:tc>
      </w:tr>
      <w:tr>
        <w:tc>
          <w:tcPr/>
          <w:p>
            <w:pPr>
              <w:pStyle w:val="Compact"/>
              <w:jc w:val="left"/>
            </w:pPr>
            <w:r>
              <w:t xml:space="preserve">Factor V Leiden</w:t>
            </w:r>
          </w:p>
        </w:tc>
        <w:tc>
          <w:tcPr/>
          <w:p>
            <w:pPr>
              <w:pStyle w:val="Compact"/>
              <w:jc w:val="left"/>
            </w:pPr>
            <w:r>
              <w:t xml:space="preserve">Automatic integer score</w:t>
            </w:r>
          </w:p>
        </w:tc>
        <w:tc>
          <w:tcPr/>
          <w:p>
            <w:pPr>
              <w:pStyle w:val="Compact"/>
              <w:jc w:val="left"/>
            </w:pPr>
            <w:r>
              <w:t xml:space="preserve">5864</w:t>
            </w:r>
          </w:p>
        </w:tc>
        <w:tc>
          <w:tcPr/>
          <w:p>
            <w:pPr>
              <w:pStyle w:val="Compact"/>
              <w:jc w:val="left"/>
            </w:pPr>
            <w:r>
              <w:t xml:space="preserve">1167</w:t>
            </w:r>
          </w:p>
        </w:tc>
        <w:tc>
          <w:tcPr/>
          <w:p>
            <w:pPr>
              <w:pStyle w:val="Compact"/>
              <w:jc w:val="left"/>
            </w:pPr>
            <w:r>
              <w:t xml:space="preserve">0.623 [0.606, 0.642]</w:t>
            </w:r>
          </w:p>
        </w:tc>
        <w:tc>
          <w:tcPr/>
          <w:p>
            <w:pPr>
              <w:pStyle w:val="Compact"/>
              <w:jc w:val="left"/>
            </w:pPr>
            <w:r>
              <w:t xml:space="preserve">90.1%</w:t>
            </w:r>
          </w:p>
        </w:tc>
        <w:tc>
          <w:tcPr/>
          <w:p>
            <w:pPr>
              <w:pStyle w:val="Compact"/>
              <w:jc w:val="left"/>
            </w:pPr>
            <w:r>
              <w:t xml:space="preserve">18.9%</w:t>
            </w:r>
          </w:p>
        </w:tc>
        <w:tc>
          <w:tcPr/>
          <w:p>
            <w:pPr>
              <w:pStyle w:val="Compact"/>
              <w:jc w:val="left"/>
            </w:pPr>
            <w:r>
              <w:t xml:space="preserve">21.6%</w:t>
            </w:r>
          </w:p>
        </w:tc>
        <w:tc>
          <w:tcPr/>
          <w:p>
            <w:pPr>
              <w:pStyle w:val="Compact"/>
              <w:jc w:val="left"/>
            </w:pPr>
            <w:r>
              <w:t xml:space="preserve">88.5%</w:t>
            </w:r>
          </w:p>
        </w:tc>
        <w:tc>
          <w:tcPr/>
          <w:p>
            <w:pPr>
              <w:pStyle w:val="Compact"/>
              <w:jc w:val="left"/>
            </w:pPr>
            <w:r>
              <w:t xml:space="preserve">171.600</w:t>
            </w:r>
          </w:p>
        </w:tc>
        <w:tc>
          <w:tcPr/>
          <w:p>
            <w:pPr>
              <w:pStyle w:val="Compact"/>
              <w:jc w:val="left"/>
            </w:pPr>
            <w:r>
              <w:t xml:space="preserve">19.800</w:t>
            </w:r>
          </w:p>
        </w:tc>
      </w:tr>
      <w:tr>
        <w:tc>
          <w:tcPr/>
          <w:p>
            <w:pPr>
              <w:pStyle w:val="Compact"/>
              <w:jc w:val="left"/>
            </w:pPr>
            <w:r>
              <w:t xml:space="preserve">Factor V Leiden</w:t>
            </w:r>
          </w:p>
        </w:tc>
        <w:tc>
          <w:tcPr/>
          <w:p>
            <w:pPr>
              <w:pStyle w:val="Compact"/>
              <w:jc w:val="left"/>
            </w:pPr>
            <w:r>
              <w:t xml:space="preserve">XGBoost</w:t>
            </w:r>
          </w:p>
        </w:tc>
        <w:tc>
          <w:tcPr/>
          <w:p>
            <w:pPr>
              <w:pStyle w:val="Compact"/>
              <w:jc w:val="left"/>
            </w:pPr>
            <w:r>
              <w:t xml:space="preserve">5864</w:t>
            </w:r>
          </w:p>
        </w:tc>
        <w:tc>
          <w:tcPr/>
          <w:p>
            <w:pPr>
              <w:pStyle w:val="Compact"/>
              <w:jc w:val="left"/>
            </w:pPr>
            <w:r>
              <w:t xml:space="preserve">1167</w:t>
            </w:r>
          </w:p>
        </w:tc>
        <w:tc>
          <w:tcPr/>
          <w:p>
            <w:pPr>
              <w:pStyle w:val="Compact"/>
              <w:jc w:val="left"/>
            </w:pPr>
            <w:r>
              <w:t xml:space="preserve">0.623 [0.606, 0.641]</w:t>
            </w:r>
          </w:p>
        </w:tc>
        <w:tc>
          <w:tcPr/>
          <w:p>
            <w:pPr>
              <w:pStyle w:val="Compact"/>
              <w:jc w:val="left"/>
            </w:pPr>
            <w:r>
              <w:t xml:space="preserve">90.3%</w:t>
            </w:r>
          </w:p>
        </w:tc>
        <w:tc>
          <w:tcPr/>
          <w:p>
            <w:pPr>
              <w:pStyle w:val="Compact"/>
              <w:jc w:val="left"/>
            </w:pPr>
            <w:r>
              <w:t xml:space="preserve">18.7%</w:t>
            </w:r>
          </w:p>
        </w:tc>
        <w:tc>
          <w:tcPr/>
          <w:p>
            <w:pPr>
              <w:pStyle w:val="Compact"/>
              <w:jc w:val="left"/>
            </w:pPr>
            <w:r>
              <w:t xml:space="preserve">21.6%</w:t>
            </w:r>
          </w:p>
        </w:tc>
        <w:tc>
          <w:tcPr/>
          <w:p>
            <w:pPr>
              <w:pStyle w:val="Compact"/>
              <w:jc w:val="left"/>
            </w:pPr>
            <w:r>
              <w:t xml:space="preserve">88.6%</w:t>
            </w:r>
          </w:p>
        </w:tc>
        <w:tc>
          <w:tcPr/>
          <w:p>
            <w:pPr>
              <w:pStyle w:val="Compact"/>
              <w:jc w:val="left"/>
            </w:pPr>
            <w:r>
              <w:t xml:space="preserve">169.000</w:t>
            </w:r>
          </w:p>
        </w:tc>
        <w:tc>
          <w:tcPr/>
          <w:p>
            <w:pPr>
              <w:pStyle w:val="Compact"/>
              <w:jc w:val="left"/>
            </w:pPr>
            <w:r>
              <w:t xml:space="preserve">19.300</w:t>
            </w:r>
          </w:p>
        </w:tc>
      </w:tr>
      <w:tr>
        <w:tc>
          <w:tcPr/>
          <w:p>
            <w:pPr>
              <w:pStyle w:val="Compact"/>
              <w:jc w:val="left"/>
            </w:pPr>
            <w:r>
              <w:t xml:space="preserve">Prothrombin G20210A</w:t>
            </w:r>
          </w:p>
        </w:tc>
        <w:tc>
          <w:tcPr/>
          <w:p>
            <w:pPr>
              <w:pStyle w:val="Compact"/>
              <w:jc w:val="left"/>
            </w:pPr>
            <w:r>
              <w:t xml:space="preserve">Logistic LASSO</w:t>
            </w:r>
          </w:p>
        </w:tc>
        <w:tc>
          <w:tcPr/>
          <w:p>
            <w:pPr>
              <w:pStyle w:val="Compact"/>
              <w:jc w:val="left"/>
            </w:pPr>
            <w:r>
              <w:t xml:space="preserve">5758</w:t>
            </w:r>
          </w:p>
        </w:tc>
        <w:tc>
          <w:tcPr/>
          <w:p>
            <w:pPr>
              <w:pStyle w:val="Compact"/>
              <w:jc w:val="left"/>
            </w:pPr>
            <w:r>
              <w:t xml:space="preserve">850</w:t>
            </w:r>
          </w:p>
        </w:tc>
        <w:tc>
          <w:tcPr/>
          <w:p>
            <w:pPr>
              <w:pStyle w:val="Compact"/>
              <w:jc w:val="left"/>
            </w:pPr>
            <w:r>
              <w:t xml:space="preserve">0.565 [0.543, 0.583]</w:t>
            </w:r>
          </w:p>
        </w:tc>
        <w:tc>
          <w:tcPr/>
          <w:p>
            <w:pPr>
              <w:pStyle w:val="Compact"/>
              <w:jc w:val="left"/>
            </w:pPr>
            <w:r>
              <w:t xml:space="preserve">89.8%</w:t>
            </w:r>
          </w:p>
        </w:tc>
        <w:tc>
          <w:tcPr/>
          <w:p>
            <w:pPr>
              <w:pStyle w:val="Compact"/>
              <w:jc w:val="left"/>
            </w:pPr>
            <w:r>
              <w:t xml:space="preserve">16.2%</w:t>
            </w:r>
          </w:p>
        </w:tc>
        <w:tc>
          <w:tcPr/>
          <w:p>
            <w:pPr>
              <w:pStyle w:val="Compact"/>
              <w:jc w:val="left"/>
            </w:pPr>
            <w:r>
              <w:t xml:space="preserve">15.7%</w:t>
            </w:r>
          </w:p>
        </w:tc>
        <w:tc>
          <w:tcPr/>
          <w:p>
            <w:pPr>
              <w:pStyle w:val="Compact"/>
              <w:jc w:val="left"/>
            </w:pPr>
            <w:r>
              <w:t xml:space="preserve">90.2%</w:t>
            </w:r>
          </w:p>
        </w:tc>
        <w:tc>
          <w:tcPr/>
          <w:p>
            <w:pPr>
              <w:pStyle w:val="Compact"/>
              <w:jc w:val="left"/>
            </w:pPr>
            <w:r>
              <w:t xml:space="preserve">153.500</w:t>
            </w:r>
          </w:p>
        </w:tc>
        <w:tc>
          <w:tcPr/>
          <w:p>
            <w:pPr>
              <w:pStyle w:val="Compact"/>
              <w:jc w:val="left"/>
            </w:pPr>
            <w:r>
              <w:t xml:space="preserve">15.100</w:t>
            </w:r>
          </w:p>
        </w:tc>
      </w:tr>
      <w:tr>
        <w:tc>
          <w:tcPr/>
          <w:p>
            <w:pPr>
              <w:pStyle w:val="Compact"/>
              <w:jc w:val="left"/>
            </w:pPr>
            <w:r>
              <w:t xml:space="preserve">Prothrombin G20210A</w:t>
            </w:r>
          </w:p>
        </w:tc>
        <w:tc>
          <w:tcPr/>
          <w:p>
            <w:pPr>
              <w:pStyle w:val="Compact"/>
              <w:jc w:val="left"/>
            </w:pPr>
            <w:r>
              <w:t xml:space="preserve">Automatic integer score</w:t>
            </w:r>
          </w:p>
        </w:tc>
        <w:tc>
          <w:tcPr/>
          <w:p>
            <w:pPr>
              <w:pStyle w:val="Compact"/>
              <w:jc w:val="left"/>
            </w:pPr>
            <w:r>
              <w:t xml:space="preserve">5758</w:t>
            </w:r>
          </w:p>
        </w:tc>
        <w:tc>
          <w:tcPr/>
          <w:p>
            <w:pPr>
              <w:pStyle w:val="Compact"/>
              <w:jc w:val="left"/>
            </w:pPr>
            <w:r>
              <w:t xml:space="preserve">850</w:t>
            </w:r>
          </w:p>
        </w:tc>
        <w:tc>
          <w:tcPr/>
          <w:p>
            <w:pPr>
              <w:pStyle w:val="Compact"/>
              <w:jc w:val="left"/>
            </w:pPr>
            <w:r>
              <w:t xml:space="preserve">0.565 [0.542, 0.584]</w:t>
            </w:r>
          </w:p>
        </w:tc>
        <w:tc>
          <w:tcPr/>
          <w:p>
            <w:pPr>
              <w:pStyle w:val="Compact"/>
              <w:jc w:val="left"/>
            </w:pPr>
            <w:r>
              <w:t xml:space="preserve">90.4%</w:t>
            </w:r>
          </w:p>
        </w:tc>
        <w:tc>
          <w:tcPr/>
          <w:p>
            <w:pPr>
              <w:pStyle w:val="Compact"/>
              <w:jc w:val="left"/>
            </w:pPr>
            <w:r>
              <w:t xml:space="preserve">15.8%</w:t>
            </w:r>
          </w:p>
        </w:tc>
        <w:tc>
          <w:tcPr/>
          <w:p>
            <w:pPr>
              <w:pStyle w:val="Compact"/>
              <w:jc w:val="left"/>
            </w:pPr>
            <w:r>
              <w:t xml:space="preserve">15.7%</w:t>
            </w:r>
          </w:p>
        </w:tc>
        <w:tc>
          <w:tcPr/>
          <w:p>
            <w:pPr>
              <w:pStyle w:val="Compact"/>
              <w:jc w:val="left"/>
            </w:pPr>
            <w:r>
              <w:t xml:space="preserve">90.5%</w:t>
            </w:r>
          </w:p>
        </w:tc>
        <w:tc>
          <w:tcPr/>
          <w:p>
            <w:pPr>
              <w:pStyle w:val="Compact"/>
              <w:jc w:val="left"/>
            </w:pPr>
            <w:r>
              <w:t xml:space="preserve">149.200</w:t>
            </w:r>
          </w:p>
        </w:tc>
        <w:tc>
          <w:tcPr/>
          <w:p>
            <w:pPr>
              <w:pStyle w:val="Compact"/>
              <w:jc w:val="left"/>
            </w:pPr>
            <w:r>
              <w:t xml:space="preserve">14.200</w:t>
            </w:r>
          </w:p>
        </w:tc>
      </w:tr>
      <w:tr>
        <w:tc>
          <w:tcPr/>
          <w:p>
            <w:pPr>
              <w:pStyle w:val="Compact"/>
              <w:jc w:val="left"/>
            </w:pPr>
            <w:r>
              <w:t xml:space="preserve">Prothrombin G20210A</w:t>
            </w:r>
          </w:p>
        </w:tc>
        <w:tc>
          <w:tcPr/>
          <w:p>
            <w:pPr>
              <w:pStyle w:val="Compact"/>
              <w:jc w:val="left"/>
            </w:pPr>
            <w:r>
              <w:t xml:space="preserve">XGBoost</w:t>
            </w:r>
          </w:p>
        </w:tc>
        <w:tc>
          <w:tcPr/>
          <w:p>
            <w:pPr>
              <w:pStyle w:val="Compact"/>
              <w:jc w:val="left"/>
            </w:pPr>
            <w:r>
              <w:t xml:space="preserve">5758</w:t>
            </w:r>
          </w:p>
        </w:tc>
        <w:tc>
          <w:tcPr/>
          <w:p>
            <w:pPr>
              <w:pStyle w:val="Compact"/>
              <w:jc w:val="left"/>
            </w:pPr>
            <w:r>
              <w:t xml:space="preserve">850</w:t>
            </w:r>
          </w:p>
        </w:tc>
        <w:tc>
          <w:tcPr/>
          <w:p>
            <w:pPr>
              <w:pStyle w:val="Compact"/>
              <w:jc w:val="left"/>
            </w:pPr>
            <w:r>
              <w:t xml:space="preserve">0.573 [0.551, 0.593]</w:t>
            </w:r>
          </w:p>
        </w:tc>
        <w:tc>
          <w:tcPr/>
          <w:p>
            <w:pPr>
              <w:pStyle w:val="Compact"/>
              <w:jc w:val="left"/>
            </w:pPr>
            <w:r>
              <w:t xml:space="preserve">90.4%</w:t>
            </w:r>
          </w:p>
        </w:tc>
        <w:tc>
          <w:tcPr/>
          <w:p>
            <w:pPr>
              <w:pStyle w:val="Compact"/>
              <w:jc w:val="left"/>
            </w:pPr>
            <w:r>
              <w:t xml:space="preserve">15.0%</w:t>
            </w:r>
          </w:p>
        </w:tc>
        <w:tc>
          <w:tcPr/>
          <w:p>
            <w:pPr>
              <w:pStyle w:val="Compact"/>
              <w:jc w:val="left"/>
            </w:pPr>
            <w:r>
              <w:t xml:space="preserve">15.6%</w:t>
            </w:r>
          </w:p>
        </w:tc>
        <w:tc>
          <w:tcPr/>
          <w:p>
            <w:pPr>
              <w:pStyle w:val="Compact"/>
              <w:jc w:val="left"/>
            </w:pPr>
            <w:r>
              <w:t xml:space="preserve">90.0%</w:t>
            </w:r>
          </w:p>
        </w:tc>
        <w:tc>
          <w:tcPr/>
          <w:p>
            <w:pPr>
              <w:pStyle w:val="Compact"/>
              <w:jc w:val="left"/>
            </w:pPr>
            <w:r>
              <w:t xml:space="preserve">142.400</w:t>
            </w:r>
          </w:p>
        </w:tc>
        <w:tc>
          <w:tcPr/>
          <w:p>
            <w:pPr>
              <w:pStyle w:val="Compact"/>
              <w:jc w:val="left"/>
            </w:pPr>
            <w:r>
              <w:t xml:space="preserve">14.200</w:t>
            </w:r>
          </w:p>
        </w:tc>
      </w:tr>
      <w:tr>
        <w:tc>
          <w:tcPr/>
          <w:p>
            <w:pPr>
              <w:pStyle w:val="Compact"/>
              <w:jc w:val="left"/>
            </w:pPr>
            <w:r>
              <w:t xml:space="preserve">Registry-coded APS</w:t>
            </w:r>
          </w:p>
        </w:tc>
        <w:tc>
          <w:tcPr/>
          <w:p>
            <w:pPr>
              <w:pStyle w:val="Compact"/>
              <w:jc w:val="left"/>
            </w:pPr>
            <w:r>
              <w:t xml:space="preserve">Logistic LASSO</w:t>
            </w:r>
          </w:p>
        </w:tc>
        <w:tc>
          <w:tcPr/>
          <w:p>
            <w:pPr>
              <w:pStyle w:val="Compact"/>
              <w:jc w:val="left"/>
            </w:pPr>
            <w:r>
              <w:t xml:space="preserve">5866</w:t>
            </w:r>
          </w:p>
        </w:tc>
        <w:tc>
          <w:tcPr/>
          <w:p>
            <w:pPr>
              <w:pStyle w:val="Compact"/>
              <w:jc w:val="left"/>
            </w:pPr>
            <w:r>
              <w:t xml:space="preserve">851</w:t>
            </w:r>
          </w:p>
        </w:tc>
        <w:tc>
          <w:tcPr/>
          <w:p>
            <w:pPr>
              <w:pStyle w:val="Compact"/>
              <w:jc w:val="left"/>
            </w:pPr>
            <w:r>
              <w:t xml:space="preserve">0.612 [0.592, 0.633]</w:t>
            </w:r>
          </w:p>
        </w:tc>
        <w:tc>
          <w:tcPr/>
          <w:p>
            <w:pPr>
              <w:pStyle w:val="Compact"/>
              <w:jc w:val="left"/>
            </w:pPr>
            <w:r>
              <w:t xml:space="preserve">90.7%</w:t>
            </w:r>
          </w:p>
        </w:tc>
        <w:tc>
          <w:tcPr/>
          <w:p>
            <w:pPr>
              <w:pStyle w:val="Compact"/>
              <w:jc w:val="left"/>
            </w:pPr>
            <w:r>
              <w:t xml:space="preserve">17.3%</w:t>
            </w:r>
          </w:p>
        </w:tc>
        <w:tc>
          <w:tcPr/>
          <w:p>
            <w:pPr>
              <w:pStyle w:val="Compact"/>
              <w:jc w:val="left"/>
            </w:pPr>
            <w:r>
              <w:t xml:space="preserve">15.7%</w:t>
            </w:r>
          </w:p>
        </w:tc>
        <w:tc>
          <w:tcPr/>
          <w:p>
            <w:pPr>
              <w:pStyle w:val="Compact"/>
              <w:jc w:val="left"/>
            </w:pPr>
            <w:r>
              <w:t xml:space="preserve">91.7%</w:t>
            </w:r>
          </w:p>
        </w:tc>
        <w:tc>
          <w:tcPr/>
          <w:p>
            <w:pPr>
              <w:pStyle w:val="Compact"/>
              <w:jc w:val="left"/>
            </w:pPr>
            <w:r>
              <w:t xml:space="preserve">161.600</w:t>
            </w:r>
          </w:p>
        </w:tc>
        <w:tc>
          <w:tcPr/>
          <w:p>
            <w:pPr>
              <w:pStyle w:val="Compact"/>
              <w:jc w:val="left"/>
            </w:pPr>
            <w:r>
              <w:t xml:space="preserve">13.500</w:t>
            </w:r>
          </w:p>
        </w:tc>
      </w:tr>
      <w:tr>
        <w:tc>
          <w:tcPr/>
          <w:p>
            <w:pPr>
              <w:pStyle w:val="Compact"/>
              <w:jc w:val="left"/>
            </w:pPr>
            <w:r>
              <w:t xml:space="preserve">Registry-coded APS</w:t>
            </w:r>
          </w:p>
        </w:tc>
        <w:tc>
          <w:tcPr/>
          <w:p>
            <w:pPr>
              <w:pStyle w:val="Compact"/>
              <w:jc w:val="left"/>
            </w:pPr>
            <w:r>
              <w:t xml:space="preserve">Automatic integer score</w:t>
            </w:r>
          </w:p>
        </w:tc>
        <w:tc>
          <w:tcPr/>
          <w:p>
            <w:pPr>
              <w:pStyle w:val="Compact"/>
              <w:jc w:val="left"/>
            </w:pPr>
            <w:r>
              <w:t xml:space="preserve">5866</w:t>
            </w:r>
          </w:p>
        </w:tc>
        <w:tc>
          <w:tcPr/>
          <w:p>
            <w:pPr>
              <w:pStyle w:val="Compact"/>
              <w:jc w:val="left"/>
            </w:pPr>
            <w:r>
              <w:t xml:space="preserve">851</w:t>
            </w:r>
          </w:p>
        </w:tc>
        <w:tc>
          <w:tcPr/>
          <w:p>
            <w:pPr>
              <w:pStyle w:val="Compact"/>
              <w:jc w:val="left"/>
            </w:pPr>
            <w:r>
              <w:t xml:space="preserve">0.612 [0.593, 0.632]</w:t>
            </w:r>
          </w:p>
        </w:tc>
        <w:tc>
          <w:tcPr/>
          <w:p>
            <w:pPr>
              <w:pStyle w:val="Compact"/>
              <w:jc w:val="left"/>
            </w:pPr>
            <w:r>
              <w:t xml:space="preserve">90.6%</w:t>
            </w:r>
          </w:p>
        </w:tc>
        <w:tc>
          <w:tcPr/>
          <w:p>
            <w:pPr>
              <w:pStyle w:val="Compact"/>
              <w:jc w:val="left"/>
            </w:pPr>
            <w:r>
              <w:t xml:space="preserve">17.4%</w:t>
            </w:r>
          </w:p>
        </w:tc>
        <w:tc>
          <w:tcPr/>
          <w:p>
            <w:pPr>
              <w:pStyle w:val="Compact"/>
              <w:jc w:val="left"/>
            </w:pPr>
            <w:r>
              <w:t xml:space="preserve">15.7%</w:t>
            </w:r>
          </w:p>
        </w:tc>
        <w:tc>
          <w:tcPr/>
          <w:p>
            <w:pPr>
              <w:pStyle w:val="Compact"/>
              <w:jc w:val="left"/>
            </w:pPr>
            <w:r>
              <w:t xml:space="preserve">91.6%</w:t>
            </w:r>
          </w:p>
        </w:tc>
        <w:tc>
          <w:tcPr/>
          <w:p>
            <w:pPr>
              <w:pStyle w:val="Compact"/>
              <w:jc w:val="left"/>
            </w:pPr>
            <w:r>
              <w:t xml:space="preserve">162.600</w:t>
            </w:r>
          </w:p>
        </w:tc>
        <w:tc>
          <w:tcPr/>
          <w:p>
            <w:pPr>
              <w:pStyle w:val="Compact"/>
              <w:jc w:val="left"/>
            </w:pPr>
            <w:r>
              <w:t xml:space="preserve">13.600</w:t>
            </w:r>
          </w:p>
        </w:tc>
      </w:tr>
      <w:tr>
        <w:tc>
          <w:tcPr/>
          <w:p>
            <w:pPr>
              <w:pStyle w:val="Compact"/>
              <w:jc w:val="left"/>
            </w:pPr>
            <w:r>
              <w:t xml:space="preserve">Registry-coded APS</w:t>
            </w:r>
          </w:p>
        </w:tc>
        <w:tc>
          <w:tcPr/>
          <w:p>
            <w:pPr>
              <w:pStyle w:val="Compact"/>
              <w:jc w:val="left"/>
            </w:pPr>
            <w:r>
              <w:t xml:space="preserve">XGBoost</w:t>
            </w:r>
          </w:p>
        </w:tc>
        <w:tc>
          <w:tcPr/>
          <w:p>
            <w:pPr>
              <w:pStyle w:val="Compact"/>
              <w:jc w:val="left"/>
            </w:pPr>
            <w:r>
              <w:t xml:space="preserve">5866</w:t>
            </w:r>
          </w:p>
        </w:tc>
        <w:tc>
          <w:tcPr/>
          <w:p>
            <w:pPr>
              <w:pStyle w:val="Compact"/>
              <w:jc w:val="left"/>
            </w:pPr>
            <w:r>
              <w:t xml:space="preserve">851</w:t>
            </w:r>
          </w:p>
        </w:tc>
        <w:tc>
          <w:tcPr/>
          <w:p>
            <w:pPr>
              <w:pStyle w:val="Compact"/>
              <w:jc w:val="left"/>
            </w:pPr>
            <w:r>
              <w:t xml:space="preserve">0.602 [0.582, 0.622]</w:t>
            </w:r>
          </w:p>
        </w:tc>
        <w:tc>
          <w:tcPr/>
          <w:p>
            <w:pPr>
              <w:pStyle w:val="Compact"/>
              <w:jc w:val="left"/>
            </w:pPr>
            <w:r>
              <w:t xml:space="preserve">91.1%</w:t>
            </w:r>
          </w:p>
        </w:tc>
        <w:tc>
          <w:tcPr/>
          <w:p>
            <w:pPr>
              <w:pStyle w:val="Compact"/>
              <w:jc w:val="left"/>
            </w:pPr>
            <w:r>
              <w:t xml:space="preserve">17.1%</w:t>
            </w:r>
          </w:p>
        </w:tc>
        <w:tc>
          <w:tcPr/>
          <w:p>
            <w:pPr>
              <w:pStyle w:val="Compact"/>
              <w:jc w:val="left"/>
            </w:pPr>
            <w:r>
              <w:t xml:space="preserve">15.7%</w:t>
            </w:r>
          </w:p>
        </w:tc>
        <w:tc>
          <w:tcPr/>
          <w:p>
            <w:pPr>
              <w:pStyle w:val="Compact"/>
              <w:jc w:val="left"/>
            </w:pPr>
            <w:r>
              <w:t xml:space="preserve">91.9%</w:t>
            </w:r>
          </w:p>
        </w:tc>
        <w:tc>
          <w:tcPr/>
          <w:p>
            <w:pPr>
              <w:pStyle w:val="Compact"/>
              <w:jc w:val="left"/>
            </w:pPr>
            <w:r>
              <w:t xml:space="preserve">159.200</w:t>
            </w:r>
          </w:p>
        </w:tc>
        <w:tc>
          <w:tcPr/>
          <w:p>
            <w:pPr>
              <w:pStyle w:val="Compact"/>
              <w:jc w:val="left"/>
            </w:pPr>
            <w:r>
              <w:t xml:space="preserve">13.000</w:t>
            </w:r>
          </w:p>
        </w:tc>
      </w:tr>
      <w:tr>
        <w:tc>
          <w:tcPr/>
          <w:p>
            <w:pPr>
              <w:pStyle w:val="Compact"/>
              <w:jc w:val="left"/>
            </w:pPr>
            <w:r>
              <w:t xml:space="preserve">Protein S deficiency</w:t>
            </w:r>
          </w:p>
        </w:tc>
        <w:tc>
          <w:tcPr/>
          <w:p>
            <w:pPr>
              <w:pStyle w:val="Compact"/>
              <w:jc w:val="left"/>
            </w:pPr>
            <w:r>
              <w:t xml:space="preserve">Logistic LASSO</w:t>
            </w:r>
          </w:p>
        </w:tc>
        <w:tc>
          <w:tcPr/>
          <w:p>
            <w:pPr>
              <w:pStyle w:val="Compact"/>
              <w:jc w:val="left"/>
            </w:pPr>
            <w:r>
              <w:t xml:space="preserve">5723</w:t>
            </w:r>
          </w:p>
        </w:tc>
        <w:tc>
          <w:tcPr/>
          <w:p>
            <w:pPr>
              <w:pStyle w:val="Compact"/>
              <w:jc w:val="left"/>
            </w:pPr>
            <w:r>
              <w:t xml:space="preserve">384</w:t>
            </w:r>
          </w:p>
        </w:tc>
        <w:tc>
          <w:tcPr/>
          <w:p>
            <w:pPr>
              <w:pStyle w:val="Compact"/>
              <w:jc w:val="left"/>
            </w:pPr>
            <w:r>
              <w:t xml:space="preserve">0.550 [0.527, 0.579]</w:t>
            </w:r>
          </w:p>
        </w:tc>
        <w:tc>
          <w:tcPr/>
          <w:p>
            <w:pPr>
              <w:pStyle w:val="Compact"/>
              <w:jc w:val="left"/>
            </w:pPr>
            <w:r>
              <w:t xml:space="preserve">88.0%</w:t>
            </w:r>
          </w:p>
        </w:tc>
        <w:tc>
          <w:tcPr/>
          <w:p>
            <w:pPr>
              <w:pStyle w:val="Compact"/>
              <w:jc w:val="left"/>
            </w:pPr>
            <w:r>
              <w:t xml:space="preserve">15.6%</w:t>
            </w:r>
          </w:p>
        </w:tc>
        <w:tc>
          <w:tcPr/>
          <w:p>
            <w:pPr>
              <w:pStyle w:val="Compact"/>
              <w:jc w:val="left"/>
            </w:pPr>
            <w:r>
              <w:t xml:space="preserve">7.0%</w:t>
            </w:r>
          </w:p>
        </w:tc>
        <w:tc>
          <w:tcPr/>
          <w:p>
            <w:pPr>
              <w:pStyle w:val="Compact"/>
              <w:jc w:val="left"/>
            </w:pPr>
            <w:r>
              <w:t xml:space="preserve">94.8%</w:t>
            </w:r>
          </w:p>
        </w:tc>
        <w:tc>
          <w:tcPr/>
          <w:p>
            <w:pPr>
              <w:pStyle w:val="Compact"/>
              <w:jc w:val="left"/>
            </w:pPr>
            <w:r>
              <w:t xml:space="preserve">153.200</w:t>
            </w:r>
          </w:p>
        </w:tc>
        <w:tc>
          <w:tcPr/>
          <w:p>
            <w:pPr>
              <w:pStyle w:val="Compact"/>
              <w:jc w:val="left"/>
            </w:pPr>
            <w:r>
              <w:t xml:space="preserve">8.000</w:t>
            </w:r>
          </w:p>
        </w:tc>
      </w:tr>
      <w:tr>
        <w:tc>
          <w:tcPr/>
          <w:p>
            <w:pPr>
              <w:pStyle w:val="Compact"/>
              <w:jc w:val="left"/>
            </w:pPr>
            <w:r>
              <w:t xml:space="preserve">Protein S deficiency</w:t>
            </w:r>
          </w:p>
        </w:tc>
        <w:tc>
          <w:tcPr/>
          <w:p>
            <w:pPr>
              <w:pStyle w:val="Compact"/>
              <w:jc w:val="left"/>
            </w:pPr>
            <w:r>
              <w:t xml:space="preserve">Automatic integer score</w:t>
            </w:r>
          </w:p>
        </w:tc>
        <w:tc>
          <w:tcPr/>
          <w:p>
            <w:pPr>
              <w:pStyle w:val="Compact"/>
              <w:jc w:val="left"/>
            </w:pPr>
            <w:r>
              <w:t xml:space="preserve">5723</w:t>
            </w:r>
          </w:p>
        </w:tc>
        <w:tc>
          <w:tcPr/>
          <w:p>
            <w:pPr>
              <w:pStyle w:val="Compact"/>
              <w:jc w:val="left"/>
            </w:pPr>
            <w:r>
              <w:t xml:space="preserve">384</w:t>
            </w:r>
          </w:p>
        </w:tc>
        <w:tc>
          <w:tcPr/>
          <w:p>
            <w:pPr>
              <w:pStyle w:val="Compact"/>
              <w:jc w:val="left"/>
            </w:pPr>
            <w:r>
              <w:t xml:space="preserve">0.553 [0.529, 0.583]</w:t>
            </w:r>
          </w:p>
        </w:tc>
        <w:tc>
          <w:tcPr/>
          <w:p>
            <w:pPr>
              <w:pStyle w:val="Compact"/>
              <w:jc w:val="left"/>
            </w:pPr>
            <w:r>
              <w:t xml:space="preserve">88.5%</w:t>
            </w:r>
          </w:p>
        </w:tc>
        <w:tc>
          <w:tcPr/>
          <w:p>
            <w:pPr>
              <w:pStyle w:val="Compact"/>
              <w:jc w:val="left"/>
            </w:pPr>
            <w:r>
              <w:t xml:space="preserve">14.9%</w:t>
            </w:r>
          </w:p>
        </w:tc>
        <w:tc>
          <w:tcPr/>
          <w:p>
            <w:pPr>
              <w:pStyle w:val="Compact"/>
              <w:jc w:val="left"/>
            </w:pPr>
            <w:r>
              <w:t xml:space="preserve">7.0%</w:t>
            </w:r>
          </w:p>
        </w:tc>
        <w:tc>
          <w:tcPr/>
          <w:p>
            <w:pPr>
              <w:pStyle w:val="Compact"/>
              <w:jc w:val="left"/>
            </w:pPr>
            <w:r>
              <w:t xml:space="preserve">94.7%</w:t>
            </w:r>
          </w:p>
        </w:tc>
        <w:tc>
          <w:tcPr/>
          <w:p>
            <w:pPr>
              <w:pStyle w:val="Compact"/>
              <w:jc w:val="left"/>
            </w:pPr>
            <w:r>
              <w:t xml:space="preserve">146.400</w:t>
            </w:r>
          </w:p>
        </w:tc>
        <w:tc>
          <w:tcPr/>
          <w:p>
            <w:pPr>
              <w:pStyle w:val="Compact"/>
              <w:jc w:val="left"/>
            </w:pPr>
            <w:r>
              <w:t xml:space="preserve">7.700</w:t>
            </w:r>
          </w:p>
        </w:tc>
      </w:tr>
      <w:tr>
        <w:tc>
          <w:tcPr/>
          <w:p>
            <w:pPr>
              <w:pStyle w:val="Compact"/>
              <w:jc w:val="left"/>
            </w:pPr>
            <w:r>
              <w:t xml:space="preserve">Protein S deficiency</w:t>
            </w:r>
          </w:p>
        </w:tc>
        <w:tc>
          <w:tcPr/>
          <w:p>
            <w:pPr>
              <w:pStyle w:val="Compact"/>
              <w:jc w:val="left"/>
            </w:pPr>
            <w:r>
              <w:t xml:space="preserve">XGBoost</w:t>
            </w:r>
          </w:p>
        </w:tc>
        <w:tc>
          <w:tcPr/>
          <w:p>
            <w:pPr>
              <w:pStyle w:val="Compact"/>
              <w:jc w:val="left"/>
            </w:pPr>
            <w:r>
              <w:t xml:space="preserve">5723</w:t>
            </w:r>
          </w:p>
        </w:tc>
        <w:tc>
          <w:tcPr/>
          <w:p>
            <w:pPr>
              <w:pStyle w:val="Compact"/>
              <w:jc w:val="left"/>
            </w:pPr>
            <w:r>
              <w:t xml:space="preserve">384</w:t>
            </w:r>
          </w:p>
        </w:tc>
        <w:tc>
          <w:tcPr/>
          <w:p>
            <w:pPr>
              <w:pStyle w:val="Compact"/>
              <w:jc w:val="left"/>
            </w:pPr>
            <w:r>
              <w:t xml:space="preserve">0.566 [0.543, 0.594]</w:t>
            </w:r>
          </w:p>
        </w:tc>
        <w:tc>
          <w:tcPr/>
          <w:p>
            <w:pPr>
              <w:pStyle w:val="Compact"/>
              <w:jc w:val="left"/>
            </w:pPr>
            <w:r>
              <w:t xml:space="preserve">89.8%</w:t>
            </w:r>
          </w:p>
        </w:tc>
        <w:tc>
          <w:tcPr/>
          <w:p>
            <w:pPr>
              <w:pStyle w:val="Compact"/>
              <w:jc w:val="left"/>
            </w:pPr>
            <w:r>
              <w:t xml:space="preserve">15.2%</w:t>
            </w:r>
          </w:p>
        </w:tc>
        <w:tc>
          <w:tcPr/>
          <w:p>
            <w:pPr>
              <w:pStyle w:val="Compact"/>
              <w:jc w:val="left"/>
            </w:pPr>
            <w:r>
              <w:t xml:space="preserve">7.1%</w:t>
            </w:r>
          </w:p>
        </w:tc>
        <w:tc>
          <w:tcPr/>
          <w:p>
            <w:pPr>
              <w:pStyle w:val="Compact"/>
              <w:jc w:val="left"/>
            </w:pPr>
            <w:r>
              <w:t xml:space="preserve">95.4%</w:t>
            </w:r>
          </w:p>
        </w:tc>
        <w:tc>
          <w:tcPr/>
          <w:p>
            <w:pPr>
              <w:pStyle w:val="Compact"/>
              <w:jc w:val="left"/>
            </w:pPr>
            <w:r>
              <w:t xml:space="preserve">148.300</w:t>
            </w:r>
          </w:p>
        </w:tc>
        <w:tc>
          <w:tcPr/>
          <w:p>
            <w:pPr>
              <w:pStyle w:val="Compact"/>
              <w:jc w:val="left"/>
            </w:pPr>
            <w:r>
              <w:t xml:space="preserve">6.800</w:t>
            </w:r>
          </w:p>
        </w:tc>
      </w:tr>
      <w:tr>
        <w:tc>
          <w:tcPr/>
          <w:p>
            <w:pPr>
              <w:pStyle w:val="Compact"/>
              <w:jc w:val="left"/>
            </w:pPr>
            <w:r>
              <w:t xml:space="preserve">Protein C deficiency</w:t>
            </w:r>
          </w:p>
        </w:tc>
        <w:tc>
          <w:tcPr/>
          <w:p>
            <w:pPr>
              <w:pStyle w:val="Compact"/>
              <w:jc w:val="left"/>
            </w:pPr>
            <w:r>
              <w:t xml:space="preserve">Logistic LASSO</w:t>
            </w:r>
          </w:p>
        </w:tc>
        <w:tc>
          <w:tcPr/>
          <w:p>
            <w:pPr>
              <w:pStyle w:val="Compact"/>
              <w:jc w:val="left"/>
            </w:pPr>
            <w:r>
              <w:t xml:space="preserve">5711</w:t>
            </w:r>
          </w:p>
        </w:tc>
        <w:tc>
          <w:tcPr/>
          <w:p>
            <w:pPr>
              <w:pStyle w:val="Compact"/>
              <w:jc w:val="left"/>
            </w:pPr>
            <w:r>
              <w:t xml:space="preserve">180</w:t>
            </w:r>
          </w:p>
        </w:tc>
        <w:tc>
          <w:tcPr/>
          <w:p>
            <w:pPr>
              <w:pStyle w:val="Compact"/>
              <w:jc w:val="left"/>
            </w:pPr>
            <w:r>
              <w:t xml:space="preserve">0.546 [0.507, 0.586]</w:t>
            </w:r>
          </w:p>
        </w:tc>
        <w:tc>
          <w:tcPr/>
          <w:p>
            <w:pPr>
              <w:pStyle w:val="Compact"/>
              <w:jc w:val="left"/>
            </w:pPr>
            <w:r>
              <w:t xml:space="preserve">89.4%</w:t>
            </w:r>
          </w:p>
        </w:tc>
        <w:tc>
          <w:tcPr/>
          <w:p>
            <w:pPr>
              <w:pStyle w:val="Compact"/>
              <w:jc w:val="left"/>
            </w:pPr>
            <w:r>
              <w:t xml:space="preserve">17.8%</w:t>
            </w:r>
          </w:p>
        </w:tc>
        <w:tc>
          <w:tcPr/>
          <w:p>
            <w:pPr>
              <w:pStyle w:val="Compact"/>
              <w:jc w:val="left"/>
            </w:pPr>
            <w:r>
              <w:t xml:space="preserve">3.4%</w:t>
            </w:r>
          </w:p>
        </w:tc>
        <w:tc>
          <w:tcPr/>
          <w:p>
            <w:pPr>
              <w:pStyle w:val="Compact"/>
              <w:jc w:val="left"/>
            </w:pPr>
            <w:r>
              <w:t xml:space="preserve">98.1%</w:t>
            </w:r>
          </w:p>
        </w:tc>
        <w:tc>
          <w:tcPr/>
          <w:p>
            <w:pPr>
              <w:pStyle w:val="Compact"/>
              <w:jc w:val="left"/>
            </w:pPr>
            <w:r>
              <w:t xml:space="preserve">175.600</w:t>
            </w:r>
          </w:p>
        </w:tc>
        <w:tc>
          <w:tcPr/>
          <w:p>
            <w:pPr>
              <w:pStyle w:val="Compact"/>
              <w:jc w:val="left"/>
            </w:pPr>
            <w:r>
              <w:t xml:space="preserve">3.300</w:t>
            </w:r>
          </w:p>
        </w:tc>
      </w:tr>
      <w:tr>
        <w:tc>
          <w:tcPr/>
          <w:p>
            <w:pPr>
              <w:pStyle w:val="Compact"/>
              <w:jc w:val="left"/>
            </w:pPr>
            <w:r>
              <w:t xml:space="preserve">Protein C deficiency</w:t>
            </w:r>
          </w:p>
        </w:tc>
        <w:tc>
          <w:tcPr/>
          <w:p>
            <w:pPr>
              <w:pStyle w:val="Compact"/>
              <w:jc w:val="left"/>
            </w:pPr>
            <w:r>
              <w:t xml:space="preserve">Automatic integer score</w:t>
            </w:r>
          </w:p>
        </w:tc>
        <w:tc>
          <w:tcPr/>
          <w:p>
            <w:pPr>
              <w:pStyle w:val="Compact"/>
              <w:jc w:val="left"/>
            </w:pPr>
            <w:r>
              <w:t xml:space="preserve">5711</w:t>
            </w:r>
          </w:p>
        </w:tc>
        <w:tc>
          <w:tcPr/>
          <w:p>
            <w:pPr>
              <w:pStyle w:val="Compact"/>
              <w:jc w:val="left"/>
            </w:pPr>
            <w:r>
              <w:t xml:space="preserve">180</w:t>
            </w:r>
          </w:p>
        </w:tc>
        <w:tc>
          <w:tcPr/>
          <w:p>
            <w:pPr>
              <w:pStyle w:val="Compact"/>
              <w:jc w:val="left"/>
            </w:pPr>
            <w:r>
              <w:t xml:space="preserve">0.549 [0.512, 0.586]</w:t>
            </w:r>
          </w:p>
        </w:tc>
        <w:tc>
          <w:tcPr/>
          <w:p>
            <w:pPr>
              <w:pStyle w:val="Compact"/>
              <w:jc w:val="left"/>
            </w:pPr>
            <w:r>
              <w:t xml:space="preserve">91.7%</w:t>
            </w:r>
          </w:p>
        </w:tc>
        <w:tc>
          <w:tcPr/>
          <w:p>
            <w:pPr>
              <w:pStyle w:val="Compact"/>
              <w:jc w:val="left"/>
            </w:pPr>
            <w:r>
              <w:t xml:space="preserve">16.3%</w:t>
            </w:r>
          </w:p>
        </w:tc>
        <w:tc>
          <w:tcPr/>
          <w:p>
            <w:pPr>
              <w:pStyle w:val="Compact"/>
              <w:jc w:val="left"/>
            </w:pPr>
            <w:r>
              <w:t xml:space="preserve">3.4%</w:t>
            </w:r>
          </w:p>
        </w:tc>
        <w:tc>
          <w:tcPr/>
          <w:p>
            <w:pPr>
              <w:pStyle w:val="Compact"/>
              <w:jc w:val="left"/>
            </w:pPr>
            <w:r>
              <w:t xml:space="preserve">98.4%</w:t>
            </w:r>
          </w:p>
        </w:tc>
        <w:tc>
          <w:tcPr/>
          <w:p>
            <w:pPr>
              <w:pStyle w:val="Compact"/>
              <w:jc w:val="left"/>
            </w:pPr>
            <w:r>
              <w:t xml:space="preserve">160.400</w:t>
            </w:r>
          </w:p>
        </w:tc>
        <w:tc>
          <w:tcPr/>
          <w:p>
            <w:pPr>
              <w:pStyle w:val="Compact"/>
              <w:jc w:val="left"/>
            </w:pPr>
            <w:r>
              <w:t xml:space="preserve">2.600</w:t>
            </w:r>
          </w:p>
        </w:tc>
      </w:tr>
      <w:tr>
        <w:tc>
          <w:tcPr/>
          <w:p>
            <w:pPr>
              <w:pStyle w:val="Compact"/>
              <w:jc w:val="left"/>
            </w:pPr>
            <w:r>
              <w:t xml:space="preserve">Protein C deficiency</w:t>
            </w:r>
          </w:p>
        </w:tc>
        <w:tc>
          <w:tcPr/>
          <w:p>
            <w:pPr>
              <w:pStyle w:val="Compact"/>
              <w:jc w:val="left"/>
            </w:pPr>
            <w:r>
              <w:t xml:space="preserve">XGBoost</w:t>
            </w:r>
          </w:p>
        </w:tc>
        <w:tc>
          <w:tcPr/>
          <w:p>
            <w:pPr>
              <w:pStyle w:val="Compact"/>
              <w:jc w:val="left"/>
            </w:pPr>
            <w:r>
              <w:t xml:space="preserve">5711</w:t>
            </w:r>
          </w:p>
        </w:tc>
        <w:tc>
          <w:tcPr/>
          <w:p>
            <w:pPr>
              <w:pStyle w:val="Compact"/>
              <w:jc w:val="left"/>
            </w:pPr>
            <w:r>
              <w:t xml:space="preserve">180</w:t>
            </w:r>
          </w:p>
        </w:tc>
        <w:tc>
          <w:tcPr/>
          <w:p>
            <w:pPr>
              <w:pStyle w:val="Compact"/>
              <w:jc w:val="left"/>
            </w:pPr>
            <w:r>
              <w:t xml:space="preserve">0.586 [0.552, 0.629]</w:t>
            </w:r>
          </w:p>
        </w:tc>
        <w:tc>
          <w:tcPr/>
          <w:p>
            <w:pPr>
              <w:pStyle w:val="Compact"/>
              <w:jc w:val="left"/>
            </w:pPr>
            <w:r>
              <w:t xml:space="preserve">91.1%</w:t>
            </w:r>
          </w:p>
        </w:tc>
        <w:tc>
          <w:tcPr/>
          <w:p>
            <w:pPr>
              <w:pStyle w:val="Compact"/>
              <w:jc w:val="left"/>
            </w:pPr>
            <w:r>
              <w:t xml:space="preserve">19.8%</w:t>
            </w:r>
          </w:p>
        </w:tc>
        <w:tc>
          <w:tcPr/>
          <w:p>
            <w:pPr>
              <w:pStyle w:val="Compact"/>
              <w:jc w:val="left"/>
            </w:pPr>
            <w:r>
              <w:t xml:space="preserve">3.6%</w:t>
            </w:r>
          </w:p>
        </w:tc>
        <w:tc>
          <w:tcPr/>
          <w:p>
            <w:pPr>
              <w:pStyle w:val="Compact"/>
              <w:jc w:val="left"/>
            </w:pPr>
            <w:r>
              <w:t xml:space="preserve">98.6%</w:t>
            </w:r>
          </w:p>
        </w:tc>
        <w:tc>
          <w:tcPr/>
          <w:p>
            <w:pPr>
              <w:pStyle w:val="Compact"/>
              <w:jc w:val="left"/>
            </w:pPr>
            <w:r>
              <w:t xml:space="preserve">194.400</w:t>
            </w:r>
          </w:p>
        </w:tc>
        <w:tc>
          <w:tcPr/>
          <w:p>
            <w:pPr>
              <w:pStyle w:val="Compact"/>
              <w:jc w:val="left"/>
            </w:pPr>
            <w:r>
              <w:t xml:space="preserve">2.800</w:t>
            </w:r>
          </w:p>
        </w:tc>
      </w:tr>
      <w:tr>
        <w:tc>
          <w:tcPr/>
          <w:p>
            <w:pPr>
              <w:pStyle w:val="Compact"/>
              <w:jc w:val="left"/>
            </w:pPr>
            <w:r>
              <w:t xml:space="preserve">Antithrombin deficiency</w:t>
            </w:r>
          </w:p>
        </w:tc>
        <w:tc>
          <w:tcPr/>
          <w:p>
            <w:pPr>
              <w:pStyle w:val="Compact"/>
              <w:jc w:val="left"/>
            </w:pPr>
            <w:r>
              <w:t xml:space="preserve">Logistic LASSO</w:t>
            </w:r>
          </w:p>
        </w:tc>
        <w:tc>
          <w:tcPr/>
          <w:p>
            <w:pPr>
              <w:pStyle w:val="Compact"/>
              <w:jc w:val="left"/>
            </w:pPr>
            <w:r>
              <w:t xml:space="preserve">5742</w:t>
            </w:r>
          </w:p>
        </w:tc>
        <w:tc>
          <w:tcPr/>
          <w:p>
            <w:pPr>
              <w:pStyle w:val="Compact"/>
              <w:jc w:val="left"/>
            </w:pPr>
            <w:r>
              <w:t xml:space="preserve">127</w:t>
            </w:r>
          </w:p>
        </w:tc>
        <w:tc>
          <w:tcPr/>
          <w:p>
            <w:pPr>
              <w:pStyle w:val="Compact"/>
              <w:jc w:val="left"/>
            </w:pPr>
            <w:r>
              <w:t xml:space="preserve">0.595 [0.551, 0.649]</w:t>
            </w:r>
          </w:p>
        </w:tc>
        <w:tc>
          <w:tcPr/>
          <w:p>
            <w:pPr>
              <w:pStyle w:val="Compact"/>
              <w:jc w:val="left"/>
            </w:pPr>
            <w:r>
              <w:t xml:space="preserve">86.6%</w:t>
            </w:r>
          </w:p>
        </w:tc>
        <w:tc>
          <w:tcPr/>
          <w:p>
            <w:pPr>
              <w:pStyle w:val="Compact"/>
              <w:jc w:val="left"/>
            </w:pPr>
            <w:r>
              <w:t xml:space="preserve">18.6%</w:t>
            </w:r>
          </w:p>
        </w:tc>
        <w:tc>
          <w:tcPr/>
          <w:p>
            <w:pPr>
              <w:pStyle w:val="Compact"/>
              <w:jc w:val="left"/>
            </w:pPr>
            <w:r>
              <w:t xml:space="preserve">2.3%</w:t>
            </w:r>
          </w:p>
        </w:tc>
        <w:tc>
          <w:tcPr/>
          <w:p>
            <w:pPr>
              <w:pStyle w:val="Compact"/>
              <w:jc w:val="left"/>
            </w:pPr>
            <w:r>
              <w:t xml:space="preserve">98.4%</w:t>
            </w:r>
          </w:p>
        </w:tc>
        <w:tc>
          <w:tcPr/>
          <w:p>
            <w:pPr>
              <w:pStyle w:val="Compact"/>
              <w:jc w:val="left"/>
            </w:pPr>
            <w:r>
              <w:t xml:space="preserve">184.800</w:t>
            </w:r>
          </w:p>
        </w:tc>
        <w:tc>
          <w:tcPr/>
          <w:p>
            <w:pPr>
              <w:pStyle w:val="Compact"/>
              <w:jc w:val="left"/>
            </w:pPr>
            <w:r>
              <w:t xml:space="preserve">3.000</w:t>
            </w:r>
          </w:p>
        </w:tc>
      </w:tr>
      <w:tr>
        <w:tc>
          <w:tcPr/>
          <w:p>
            <w:pPr>
              <w:pStyle w:val="Compact"/>
              <w:jc w:val="left"/>
            </w:pPr>
            <w:r>
              <w:t xml:space="preserve">Antithrombin deficiency</w:t>
            </w:r>
          </w:p>
        </w:tc>
        <w:tc>
          <w:tcPr/>
          <w:p>
            <w:pPr>
              <w:pStyle w:val="Compact"/>
              <w:jc w:val="left"/>
            </w:pPr>
            <w:r>
              <w:t xml:space="preserve">Automatic integer score</w:t>
            </w:r>
          </w:p>
        </w:tc>
        <w:tc>
          <w:tcPr/>
          <w:p>
            <w:pPr>
              <w:pStyle w:val="Compact"/>
              <w:jc w:val="left"/>
            </w:pPr>
            <w:r>
              <w:t xml:space="preserve">5742</w:t>
            </w:r>
          </w:p>
        </w:tc>
        <w:tc>
          <w:tcPr/>
          <w:p>
            <w:pPr>
              <w:pStyle w:val="Compact"/>
              <w:jc w:val="left"/>
            </w:pPr>
            <w:r>
              <w:t xml:space="preserve">127</w:t>
            </w:r>
          </w:p>
        </w:tc>
        <w:tc>
          <w:tcPr/>
          <w:p>
            <w:pPr>
              <w:pStyle w:val="Compact"/>
              <w:jc w:val="left"/>
            </w:pPr>
            <w:r>
              <w:t xml:space="preserve">0.595 [0.552, 0.649]</w:t>
            </w:r>
          </w:p>
        </w:tc>
        <w:tc>
          <w:tcPr/>
          <w:p>
            <w:pPr>
              <w:pStyle w:val="Compact"/>
              <w:jc w:val="left"/>
            </w:pPr>
            <w:r>
              <w:t xml:space="preserve">87.4%</w:t>
            </w:r>
          </w:p>
        </w:tc>
        <w:tc>
          <w:tcPr/>
          <w:p>
            <w:pPr>
              <w:pStyle w:val="Compact"/>
              <w:jc w:val="left"/>
            </w:pPr>
            <w:r>
              <w:t xml:space="preserve">18.2%</w:t>
            </w:r>
          </w:p>
        </w:tc>
        <w:tc>
          <w:tcPr/>
          <w:p>
            <w:pPr>
              <w:pStyle w:val="Compact"/>
              <w:jc w:val="left"/>
            </w:pPr>
            <w:r>
              <w:t xml:space="preserve">2.4%</w:t>
            </w:r>
          </w:p>
        </w:tc>
        <w:tc>
          <w:tcPr/>
          <w:p>
            <w:pPr>
              <w:pStyle w:val="Compact"/>
              <w:jc w:val="left"/>
            </w:pPr>
            <w:r>
              <w:t xml:space="preserve">98.5%</w:t>
            </w:r>
          </w:p>
        </w:tc>
        <w:tc>
          <w:tcPr/>
          <w:p>
            <w:pPr>
              <w:pStyle w:val="Compact"/>
              <w:jc w:val="left"/>
            </w:pPr>
            <w:r>
              <w:t xml:space="preserve">180.400</w:t>
            </w:r>
          </w:p>
        </w:tc>
        <w:tc>
          <w:tcPr/>
          <w:p>
            <w:pPr>
              <w:pStyle w:val="Compact"/>
              <w:jc w:val="left"/>
            </w:pPr>
            <w:r>
              <w:t xml:space="preserve">2.800</w:t>
            </w:r>
          </w:p>
        </w:tc>
      </w:tr>
      <w:tr>
        <w:tc>
          <w:tcPr/>
          <w:p>
            <w:pPr>
              <w:pStyle w:val="Compact"/>
              <w:jc w:val="left"/>
            </w:pPr>
            <w:r>
              <w:t xml:space="preserve">Antithrombin deficiency</w:t>
            </w:r>
          </w:p>
        </w:tc>
        <w:tc>
          <w:tcPr/>
          <w:p>
            <w:pPr>
              <w:pStyle w:val="Compact"/>
              <w:jc w:val="left"/>
            </w:pPr>
            <w:r>
              <w:t xml:space="preserve">XGBoost</w:t>
            </w:r>
          </w:p>
        </w:tc>
        <w:tc>
          <w:tcPr/>
          <w:p>
            <w:pPr>
              <w:pStyle w:val="Compact"/>
              <w:jc w:val="left"/>
            </w:pPr>
            <w:r>
              <w:t xml:space="preserve">5742</w:t>
            </w:r>
          </w:p>
        </w:tc>
        <w:tc>
          <w:tcPr/>
          <w:p>
            <w:pPr>
              <w:pStyle w:val="Compact"/>
              <w:jc w:val="left"/>
            </w:pPr>
            <w:r>
              <w:t xml:space="preserve">127</w:t>
            </w:r>
          </w:p>
        </w:tc>
        <w:tc>
          <w:tcPr/>
          <w:p>
            <w:pPr>
              <w:pStyle w:val="Compact"/>
              <w:jc w:val="left"/>
            </w:pPr>
            <w:r>
              <w:t xml:space="preserve">0.654 [0.616, 0.705]</w:t>
            </w:r>
          </w:p>
        </w:tc>
        <w:tc>
          <w:tcPr/>
          <w:p>
            <w:pPr>
              <w:pStyle w:val="Compact"/>
              <w:jc w:val="left"/>
            </w:pPr>
            <w:r>
              <w:t xml:space="preserve">89.0%</w:t>
            </w:r>
          </w:p>
        </w:tc>
        <w:tc>
          <w:tcPr/>
          <w:p>
            <w:pPr>
              <w:pStyle w:val="Compact"/>
              <w:jc w:val="left"/>
            </w:pPr>
            <w:r>
              <w:t xml:space="preserve">22.3%</w:t>
            </w:r>
          </w:p>
        </w:tc>
        <w:tc>
          <w:tcPr/>
          <w:p>
            <w:pPr>
              <w:pStyle w:val="Compact"/>
              <w:jc w:val="left"/>
            </w:pPr>
            <w:r>
              <w:t xml:space="preserve">2.5%</w:t>
            </w:r>
          </w:p>
        </w:tc>
        <w:tc>
          <w:tcPr/>
          <w:p>
            <w:pPr>
              <w:pStyle w:val="Compact"/>
              <w:jc w:val="left"/>
            </w:pPr>
            <w:r>
              <w:t xml:space="preserve">98.9%</w:t>
            </w:r>
          </w:p>
        </w:tc>
        <w:tc>
          <w:tcPr/>
          <w:p>
            <w:pPr>
              <w:pStyle w:val="Compact"/>
              <w:jc w:val="left"/>
            </w:pPr>
            <w:r>
              <w:t xml:space="preserve">220.800</w:t>
            </w:r>
          </w:p>
        </w:tc>
        <w:tc>
          <w:tcPr/>
          <w:p>
            <w:pPr>
              <w:pStyle w:val="Compact"/>
              <w:jc w:val="left"/>
            </w:pPr>
            <w:r>
              <w:t xml:space="preserve">2.400</w:t>
            </w:r>
          </w:p>
        </w:tc>
      </w:tr>
      <w:tr>
        <w:tc>
          <w:tcPr/>
          <w:p>
            <w:pPr>
              <w:pStyle w:val="Compact"/>
              <w:jc w:val="left"/>
            </w:pPr>
            <w:r>
              <w:t xml:space="preserve">JAK2 mutation</w:t>
            </w:r>
          </w:p>
        </w:tc>
        <w:tc>
          <w:tcPr/>
          <w:p>
            <w:pPr>
              <w:pStyle w:val="Compact"/>
              <w:jc w:val="left"/>
            </w:pPr>
            <w:r>
              <w:t xml:space="preserve">Logistic LASSO</w:t>
            </w:r>
          </w:p>
        </w:tc>
        <w:tc>
          <w:tcPr/>
          <w:p>
            <w:pPr>
              <w:pStyle w:val="Compact"/>
              <w:jc w:val="left"/>
            </w:pPr>
            <w:r>
              <w:t xml:space="preserve">648</w:t>
            </w:r>
          </w:p>
        </w:tc>
        <w:tc>
          <w:tcPr/>
          <w:p>
            <w:pPr>
              <w:pStyle w:val="Compact"/>
              <w:jc w:val="left"/>
            </w:pPr>
            <w:r>
              <w:t xml:space="preserve">15</w:t>
            </w:r>
          </w:p>
        </w:tc>
        <w:tc>
          <w:tcPr/>
          <w:p>
            <w:pPr>
              <w:pStyle w:val="Compact"/>
              <w:jc w:val="left"/>
            </w:pPr>
            <w:r>
              <w:t xml:space="preserve">0.688 [0.498, 0.865]</w:t>
            </w:r>
          </w:p>
        </w:tc>
        <w:tc>
          <w:tcPr/>
          <w:p>
            <w:pPr>
              <w:pStyle w:val="Compact"/>
              <w:jc w:val="left"/>
            </w:pPr>
            <w:r>
              <w:t xml:space="preserve">73.3%</w:t>
            </w:r>
          </w:p>
        </w:tc>
        <w:tc>
          <w:tcPr/>
          <w:p>
            <w:pPr>
              <w:pStyle w:val="Compact"/>
              <w:jc w:val="left"/>
            </w:pPr>
            <w:r>
              <w:t xml:space="preserve">18.3%</w:t>
            </w:r>
          </w:p>
        </w:tc>
        <w:tc>
          <w:tcPr/>
          <w:p>
            <w:pPr>
              <w:pStyle w:val="Compact"/>
              <w:jc w:val="left"/>
            </w:pPr>
            <w:r>
              <w:t xml:space="preserve">2.1%</w:t>
            </w:r>
          </w:p>
        </w:tc>
        <w:tc>
          <w:tcPr/>
          <w:p>
            <w:pPr>
              <w:pStyle w:val="Compact"/>
              <w:jc w:val="left"/>
            </w:pPr>
            <w:r>
              <w:t xml:space="preserve">96.7%</w:t>
            </w:r>
          </w:p>
        </w:tc>
        <w:tc>
          <w:tcPr/>
          <w:p>
            <w:pPr>
              <w:pStyle w:val="Compact"/>
              <w:jc w:val="left"/>
            </w:pPr>
            <w:r>
              <w:t xml:space="preserve">185.200</w:t>
            </w:r>
          </w:p>
        </w:tc>
        <w:tc>
          <w:tcPr/>
          <w:p>
            <w:pPr>
              <w:pStyle w:val="Compact"/>
              <w:jc w:val="left"/>
            </w:pPr>
            <w:r>
              <w:t xml:space="preserve">6.200</w:t>
            </w:r>
          </w:p>
        </w:tc>
      </w:tr>
      <w:tr>
        <w:tc>
          <w:tcPr/>
          <w:p>
            <w:pPr>
              <w:pStyle w:val="Compact"/>
              <w:jc w:val="left"/>
            </w:pPr>
            <w:r>
              <w:t xml:space="preserve">JAK2 mutation</w:t>
            </w:r>
          </w:p>
        </w:tc>
        <w:tc>
          <w:tcPr/>
          <w:p>
            <w:pPr>
              <w:pStyle w:val="Compact"/>
              <w:jc w:val="left"/>
            </w:pPr>
            <w:r>
              <w:t xml:space="preserve">Automatic integer score</w:t>
            </w:r>
          </w:p>
        </w:tc>
        <w:tc>
          <w:tcPr/>
          <w:p>
            <w:pPr>
              <w:pStyle w:val="Compact"/>
              <w:jc w:val="left"/>
            </w:pPr>
            <w:r>
              <w:t xml:space="preserve">648</w:t>
            </w:r>
          </w:p>
        </w:tc>
        <w:tc>
          <w:tcPr/>
          <w:p>
            <w:pPr>
              <w:pStyle w:val="Compact"/>
              <w:jc w:val="left"/>
            </w:pPr>
            <w:r>
              <w:t xml:space="preserve">15</w:t>
            </w:r>
          </w:p>
        </w:tc>
        <w:tc>
          <w:tcPr/>
          <w:p>
            <w:pPr>
              <w:pStyle w:val="Compact"/>
              <w:jc w:val="left"/>
            </w:pPr>
            <w:r>
              <w:t xml:space="preserve">0.679 [0.482, 0.861]</w:t>
            </w:r>
          </w:p>
        </w:tc>
        <w:tc>
          <w:tcPr/>
          <w:p>
            <w:pPr>
              <w:pStyle w:val="Compact"/>
              <w:jc w:val="left"/>
            </w:pPr>
            <w:r>
              <w:t xml:space="preserve">86.7%</w:t>
            </w:r>
          </w:p>
        </w:tc>
        <w:tc>
          <w:tcPr/>
          <w:p>
            <w:pPr>
              <w:pStyle w:val="Compact"/>
              <w:jc w:val="left"/>
            </w:pPr>
            <w:r>
              <w:t xml:space="preserve">7.7%</w:t>
            </w:r>
          </w:p>
        </w:tc>
        <w:tc>
          <w:tcPr/>
          <w:p>
            <w:pPr>
              <w:pStyle w:val="Compact"/>
              <w:jc w:val="left"/>
            </w:pPr>
            <w:r>
              <w:t xml:space="preserve">2.2%</w:t>
            </w:r>
          </w:p>
        </w:tc>
        <w:tc>
          <w:tcPr/>
          <w:p>
            <w:pPr>
              <w:pStyle w:val="Compact"/>
              <w:jc w:val="left"/>
            </w:pPr>
            <w:r>
              <w:t xml:space="preserve">96.1%</w:t>
            </w:r>
          </w:p>
        </w:tc>
        <w:tc>
          <w:tcPr/>
          <w:p>
            <w:pPr>
              <w:pStyle w:val="Compact"/>
              <w:jc w:val="left"/>
            </w:pPr>
            <w:r>
              <w:t xml:space="preserve">78.700</w:t>
            </w:r>
          </w:p>
        </w:tc>
        <w:tc>
          <w:tcPr/>
          <w:p>
            <w:pPr>
              <w:pStyle w:val="Compact"/>
              <w:jc w:val="left"/>
            </w:pPr>
            <w:r>
              <w:t xml:space="preserve">3.100</w:t>
            </w:r>
          </w:p>
        </w:tc>
      </w:tr>
      <w:tr>
        <w:tc>
          <w:tcPr/>
          <w:p>
            <w:pPr>
              <w:pStyle w:val="Compact"/>
              <w:jc w:val="left"/>
            </w:pPr>
            <w:r>
              <w:t xml:space="preserve">JAK2 mutation</w:t>
            </w:r>
          </w:p>
        </w:tc>
        <w:tc>
          <w:tcPr/>
          <w:p>
            <w:pPr>
              <w:pStyle w:val="Compact"/>
              <w:jc w:val="left"/>
            </w:pPr>
            <w:r>
              <w:t xml:space="preserve">XGBoost</w:t>
            </w:r>
          </w:p>
        </w:tc>
        <w:tc>
          <w:tcPr/>
          <w:p>
            <w:pPr>
              <w:pStyle w:val="Compact"/>
              <w:jc w:val="left"/>
            </w:pPr>
            <w:r>
              <w:t xml:space="preserve">648</w:t>
            </w:r>
          </w:p>
        </w:tc>
        <w:tc>
          <w:tcPr/>
          <w:p>
            <w:pPr>
              <w:pStyle w:val="Compact"/>
              <w:jc w:val="left"/>
            </w:pPr>
            <w:r>
              <w:t xml:space="preserve">15</w:t>
            </w:r>
          </w:p>
        </w:tc>
        <w:tc>
          <w:tcPr/>
          <w:p>
            <w:pPr>
              <w:pStyle w:val="Compact"/>
              <w:jc w:val="left"/>
            </w:pPr>
            <w:r>
              <w:t xml:space="preserve">0.700 [0.578, 0.854]</w:t>
            </w:r>
          </w:p>
        </w:tc>
        <w:tc>
          <w:tcPr/>
          <w:p>
            <w:pPr>
              <w:pStyle w:val="Compact"/>
              <w:jc w:val="left"/>
            </w:pPr>
            <w:r>
              <w:t xml:space="preserve">93.3%</w:t>
            </w:r>
          </w:p>
        </w:tc>
        <w:tc>
          <w:tcPr/>
          <w:p>
            <w:pPr>
              <w:pStyle w:val="Compact"/>
              <w:jc w:val="left"/>
            </w:pPr>
            <w:r>
              <w:t xml:space="preserve">29.5%</w:t>
            </w:r>
          </w:p>
        </w:tc>
        <w:tc>
          <w:tcPr/>
          <w:p>
            <w:pPr>
              <w:pStyle w:val="Compact"/>
              <w:jc w:val="left"/>
            </w:pPr>
            <w:r>
              <w:t xml:space="preserve">3.0%</w:t>
            </w:r>
          </w:p>
        </w:tc>
        <w:tc>
          <w:tcPr/>
          <w:p>
            <w:pPr>
              <w:pStyle w:val="Compact"/>
              <w:jc w:val="left"/>
            </w:pPr>
            <w:r>
              <w:t xml:space="preserve">99.5%</w:t>
            </w:r>
          </w:p>
        </w:tc>
        <w:tc>
          <w:tcPr/>
          <w:p>
            <w:pPr>
              <w:pStyle w:val="Compact"/>
              <w:jc w:val="left"/>
            </w:pPr>
            <w:r>
              <w:t xml:space="preserve">290.100</w:t>
            </w:r>
          </w:p>
        </w:tc>
        <w:tc>
          <w:tcPr/>
          <w:p>
            <w:pPr>
              <w:pStyle w:val="Compact"/>
              <w:jc w:val="left"/>
            </w:pPr>
            <w:r>
              <w:t xml:space="preserve">1.500</w:t>
            </w:r>
          </w:p>
        </w:tc>
      </w:tr>
    </w:tbl>
    <w:bookmarkEnd w:id="21"/>
    <w:bookmarkStart w:id="22" w:name="article-comment-0-missing-data-reporting"/>
    <w:p>
      <w:pPr>
        <w:pStyle w:val="Heading2"/>
      </w:pPr>
      <w:r>
        <w:t xml:space="preserve">Article comment 0: Missing-data reporting</w:t>
      </w:r>
    </w:p>
    <w:p>
      <w:pPr>
        <w:pStyle w:val="FirstParagraph"/>
      </w:pPr>
      <w:r>
        <w:t xml:space="preserve">We have now recalculated missingness before modelling, separating unknown from explicitly not-performed values. The full table is supplement_missingness.csv and each outcome has its own missingness.csv. The primary comparison uses complete cases for the development-defined candidate set after excluding predictors with &gt;40% missingness; LASSO uses no imputation. XGBoost on the same complete cases provides a paired comparison. A separate XGBoost analysis includes incomplete observations using true NaN blocks and native missing handling. Included/excluded comparisons are exported for every outcome. No unknown history is silently coded as absent. See model_cohort_flow.csv for the actual analytical denominators.</w:t>
      </w:r>
    </w:p>
    <w:bookmarkEnd w:id="22"/>
    <w:bookmarkStart w:id="23" w:name="X4be08f7e8f1fa886f41136d9015b73acf589cad"/>
    <w:p>
      <w:pPr>
        <w:pStyle w:val="Heading2"/>
      </w:pPr>
      <w:r>
        <w:t xml:space="preserve">Article comment 1: Confirm subtype-specific tested controls</w:t>
      </w:r>
    </w:p>
    <w:p>
      <w:pPr>
        <w:pStyle w:val="FirstParagraph"/>
      </w:pPr>
      <w:r>
        <w:t xml:space="preserve">The historical statement was not supported, but the code now requires both a documented global testing label and a binary registered subtype result, and excludes explicit prior carrier status/known APS. Prediction IDs are checked against that eligibility definition. However, the extract has no separate assay-performed flag: we must say</w:t>
      </w:r>
      <w:r>
        <w:t xml:space="preserve"> </w:t>
      </w:r>
      <w:r>
        <w:t xml:space="preserve">“</w:t>
      </w:r>
      <w:r>
        <w:t xml:space="preserve">binary registered subtype results among globally tested patients</w:t>
      </w:r>
      <w:r>
        <w:t xml:space="preserve">”</w:t>
      </w:r>
      <w:r>
        <w:t xml:space="preserve">, not claim independently verified performance of every assay. The new denominators and results are in supplement_outcome_denominators.csv and table5_primary_performance.csv.</w:t>
      </w:r>
    </w:p>
    <w:bookmarkEnd w:id="23"/>
    <w:bookmarkStart w:id="24" w:name="Xb1ece2216d8f6b9e917c8dea4797cbc8616dcbc"/>
    <w:p>
      <w:pPr>
        <w:pStyle w:val="Heading2"/>
      </w:pPr>
      <w:r>
        <w:t xml:space="preserve">Article comment 2: Confirm Figure 1 numbers</w:t>
      </w:r>
    </w:p>
    <w:p>
      <w:pPr>
        <w:pStyle w:val="FirstParagraph"/>
      </w:pPr>
      <w:r>
        <w:t xml:space="preserve">The complete registry contains 119,449 patients; 22,874 have documented testing, with 8,568 positive and 14,306 negative global evaluations. The remaining 96,575 are explicitly untested or unknown. These counts reconcile exactly. The new figure separates the 27 known-carrier/known-APS exclusions and the outcome-specific complete-case development and temporal samples. Use figures/cohort_flow.png and model_cohort_flow.csv. The old 8,345/13,770 counts should not be combined with the full-registry tested count.</w:t>
      </w:r>
    </w:p>
    <w:bookmarkEnd w:id="24"/>
    <w:bookmarkStart w:id="25" w:name="X9cda304b424b816338a286c9be56a150e7e8ddf"/>
    <w:p>
      <w:pPr>
        <w:pStyle w:val="Heading2"/>
      </w:pPr>
      <w:r>
        <w:t xml:space="preserve">Article comment 3: Perform missingness analyses or remove the sentence</w:t>
      </w:r>
    </w:p>
    <w:p>
      <w:pPr>
        <w:pStyle w:val="FirstParagraph"/>
      </w:pPr>
      <w:r>
        <w:t xml:space="preserve">This work has now been performed. The replacement Methods describes the actual 40% development missingness threshold, the primary complete-case definition, the native-missing XGBoost sensitivity analysis, and comparisons of included versus excluded patients. The candidate set is broader than the final nonzero score terms, so we explicitly describe complete cases for retained candidates rather than only for the final score. Remove the unspecified</w:t>
      </w:r>
      <w:r>
        <w:t xml:space="preserve"> </w:t>
      </w:r>
      <w:r>
        <w:t xml:space="preserve">“</w:t>
      </w:r>
      <w:r>
        <w:t xml:space="preserve">Table X</w:t>
      </w:r>
      <w:r>
        <w:t xml:space="preserve">”</w:t>
      </w:r>
      <w:r>
        <w:t xml:space="preserve"> </w:t>
      </w:r>
      <w:r>
        <w:t xml:space="preserve">reference and cite recalculated Supplementary Table S3.</w:t>
      </w:r>
    </w:p>
    <w:bookmarkEnd w:id="25"/>
    <w:bookmarkStart w:id="26" w:name="Xc20db9f06d6ecda17ff2ceed0575e0f012e3524"/>
    <w:p>
      <w:pPr>
        <w:pStyle w:val="Heading2"/>
      </w:pPr>
      <w:r>
        <w:t xml:space="preserve">Article comment 4: Locate previous missingness work</w:t>
      </w:r>
    </w:p>
    <w:p>
      <w:pPr>
        <w:pStyle w:val="FirstParagraph"/>
      </w:pPr>
      <w:r>
        <w:t xml:space="preserve">The old Excel validation JSON files were preprocessing audits rather than manuscript missingness tables. They are now superseded for this paper by supplement_missingness.csv, each outcome/missingness.csv, candidate_availability.csv and included_vs_excluded.csv. These files distinguish original missingness, quality failures and modelling exclusion. Their generation is part of the supported reanalysis command.</w:t>
      </w:r>
    </w:p>
    <w:bookmarkEnd w:id="26"/>
    <w:bookmarkStart w:id="27" w:name="X4e68519e8a020a27a4e1c94bb5c5534643dfbb5"/>
    <w:p>
      <w:pPr>
        <w:pStyle w:val="Heading2"/>
      </w:pPr>
      <w:r>
        <w:t xml:space="preserve">Article comment 5: Negative or positive association rules?</w:t>
      </w:r>
    </w:p>
    <w:p>
      <w:pPr>
        <w:pStyle w:val="FirstParagraph"/>
      </w:pPr>
      <w:r>
        <w:t xml:space="preserve">Negative is correct for this exploratory section. The new FP-Growth export explicitly requires a negative-result consequent and retains 0 rules under documented thresholds. Positive thrombophilia remains the outcome for the predictive models. Replace the old rule counts and examples with table3_recalculated_profiles.csv and supplement_negative_association_rules.csv; joint rule support and antecedent support are now distinguished.</w:t>
      </w:r>
    </w:p>
    <w:bookmarkEnd w:id="27"/>
    <w:bookmarkStart w:id="28" w:name="X269e15899bee9c38c4b6e77365da360eac46987"/>
    <w:p>
      <w:pPr>
        <w:pStyle w:val="Heading2"/>
      </w:pPr>
      <w:r>
        <w:t xml:space="preserve">Article comment 6: Positive or negative score orientation?</w:t>
      </w:r>
    </w:p>
    <w:p>
      <w:pPr>
        <w:pStyle w:val="FirstParagraph"/>
      </w:pPr>
      <w:r>
        <w:t xml:space="preserve">The new LASSO models predict a positive registered result. Integer points preserve the signs of their coefficients, so higher total scores indicate greater predicted positivity and a positive decision is score ≥ its development cutoff. The score-to-probability mapping has a nonnegative slope. This orientation is now consistent for both the automatic and composite guided comparison. It supersedes the historical guided card that used the opposite inequality. Each final card reports exact variable/category identities, signed points and its locked threshold.</w:t>
      </w:r>
    </w:p>
    <w:bookmarkEnd w:id="28"/>
    <w:bookmarkStart w:id="29" w:name="X17f656e42dc587d9fe2401770a7b8241f5364a6"/>
    <w:p>
      <w:pPr>
        <w:pStyle w:val="Heading2"/>
      </w:pPr>
      <w:r>
        <w:t xml:space="preserve">Article comment 7: Correct and complete Table 1</w:t>
      </w:r>
    </w:p>
    <w:p>
      <w:pPr>
        <w:pStyle w:val="FirstParagraph"/>
      </w:pPr>
      <w:r>
        <w:t xml:space="preserve">Table 1 has been rebuilt from mutually exclusive tested versus not-tested/unknown groups in the original registry. It reports observed denominators, missing counts, standardized differences and newly calculated descriptive p-values; no old p-values were carried forward. Table 2 is also rebuilt from the same source. Use table1_baseline.csv and table2_positive_negative.csv, or the formatted replacement manuscript tables. Percentages now use observed values rather than equating unknown history with absence.</w:t>
      </w:r>
    </w:p>
    <w:bookmarkEnd w:id="29"/>
    <w:bookmarkStart w:id="30" w:name="X555f7ada15c0b4776cfaa84627aaacfc9d97a1f"/>
    <w:p>
      <w:pPr>
        <w:pStyle w:val="Heading2"/>
      </w:pPr>
      <w:r>
        <w:t xml:space="preserve">Article comment 8: Shorten the sex comparison</w:t>
      </w:r>
    </w:p>
    <w:p>
      <w:pPr>
        <w:pStyle w:val="FirstParagraph"/>
      </w:pPr>
      <w:r>
        <w:t xml:space="preserve">We suggest retaining one descriptive sentence in the main Results and moving the full effect sizes and Bayesian conditional probabilities to the supplement. The analysis addresses testing selection and yield but does not establish clinical testing criteria. sex_testing_yield.csv and sex_effect_sizes.csv contain the recalculated counts, rates and intervals from the same original registry.</w:t>
      </w:r>
    </w:p>
    <w:bookmarkEnd w:id="30"/>
    <w:bookmarkStart w:id="31" w:name="X89a5bd0c7b27c1067797638daf689bdcf29b23c"/>
    <w:p>
      <w:pPr>
        <w:pStyle w:val="Heading2"/>
      </w:pPr>
      <w:r>
        <w:t xml:space="preserve">Article comment 9: Sex, hormone/pregnancy testing and recurrence</w:t>
      </w:r>
    </w:p>
    <w:p>
      <w:pPr>
        <w:pStyle w:val="FirstParagraph"/>
      </w:pPr>
      <w:r>
        <w:t xml:space="preserve">The recalculated sex difference can be retained as a descriptive finding. No recurrence model or adjudicated testing-indication analysis has been conducted, so we cannot attribute it to recurrent VTE, contraceptive use or pregnancy. Those are hypotheses, not explanations demonstrated by these results. An additional important correction is that trat_est means statin treatment; hormone exposure is fr_estro. The prior score label</w:t>
      </w:r>
      <w:r>
        <w:t xml:space="preserve"> </w:t>
      </w:r>
      <w:r>
        <w:t xml:space="preserve">“</w:t>
      </w:r>
      <w:r>
        <w:t xml:space="preserve">estrogen treatment</w:t>
      </w:r>
      <w:r>
        <w:t xml:space="preserve">”</w:t>
      </w:r>
      <w:r>
        <w:t xml:space="preserve"> </w:t>
      </w:r>
      <w:r>
        <w:t xml:space="preserve">for trat_est was erroneous.</w:t>
      </w:r>
    </w:p>
    <w:bookmarkEnd w:id="31"/>
    <w:bookmarkStart w:id="32" w:name="X3aa91ede50760c3fe173f63d40bfb7c5cd6a291"/>
    <w:p>
      <w:pPr>
        <w:pStyle w:val="Heading2"/>
      </w:pPr>
      <w:r>
        <w:t xml:space="preserve">Article comment 10: Complete Table 5 and report both XGBoost and integer scores</w:t>
      </w:r>
    </w:p>
    <w:p>
      <w:pPr>
        <w:pStyle w:val="FirstParagraph"/>
      </w:pPr>
      <w:r>
        <w:t xml:space="preserve">Both models are retained because their comparison is a study objective. They now use exactly the same complete-case patients in the primary table; the full logistic LASSO benchmark is also supplied. N, positives, AUC, TP/FP/TN/FN, all threshold metrics, calibration and resource calculations come from the same stored predictions. The native-missing tree results are a separate sensitivity table. Antithrombin and JAK2 have been recomputed; JAK2 remains descriptive because of its small event count. The observed sensitivity is allowed to fall below 90% in validation: the 90% target selects training thresholds and must not be enforced retrospectively on held-out patients.</w:t>
      </w:r>
    </w:p>
    <w:bookmarkEnd w:id="32"/>
    <w:bookmarkStart w:id="33" w:name="X3f7984b3204eff51b058eaed1d54c076e6b36d9"/>
    <w:p>
      <w:pPr>
        <w:pStyle w:val="Heading2"/>
      </w:pPr>
      <w:r>
        <w:t xml:space="preserve">Article comment 11: Identify the calibration figures and numbers</w:t>
      </w:r>
    </w:p>
    <w:p>
      <w:pPr>
        <w:pStyle w:val="FirstParagraph"/>
      </w:pPr>
      <w:r>
        <w:t xml:space="preserve">The authoritative files are supplement_calibration.csv, all_model_metrics.csv and figures/</w:t>
      </w:r>
      <w:r>
        <w:t xml:space="preserve">_validation.png. Calibration now evaluates the actual point-score probability separately from the full logistic prediction. Recalculated Supplementary Table S6 reports Brier, MACE and ECE with explicit bin definitions. The old MACE values and placeholder Figure X should be removed. No number in the legacy calibration summary is reused.</w:t>
      </w:r>
    </w:p>
    <w:bookmarkEnd w:id="33"/>
    <w:bookmarkStart w:id="34" w:name="Xfd20836438bb7b3c163615843cf5a5c0248f8f9"/>
    <w:p>
      <w:pPr>
        <w:pStyle w:val="Heading2"/>
      </w:pPr>
      <w:r>
        <w:t xml:space="preserve">Article comment 12: Identify and verify temporal validation</w:t>
      </w:r>
    </w:p>
    <w:p>
      <w:pPr>
        <w:pStyle w:val="FirstParagraph"/>
      </w:pPr>
      <w:r>
        <w:t xml:space="preserve">Temporal validation is now a fixed 2021/2022 split. All category vocabularies, supervised screening, hyperparameters, score cards, probability mappings and thresholds are fitted in development only. supplement_temporal_validation.csv identifies each outcome, model, N, events and confusion matrix; the formatted primary table is Supplementary Table S5. Undefined NPV is reported as undefined, not zero. Small holdout/event counts are displayed and must accompany interpretation. The previous temporal figures have been replaced rather than relabelled.</w:t>
      </w:r>
    </w:p>
    <w:bookmarkEnd w:id="34"/>
    <w:bookmarkStart w:id="35" w:name="Xaf46125b91b1f4c396d7908d9e7fe37f466c2d0"/>
    <w:p>
      <w:pPr>
        <w:pStyle w:val="Heading2"/>
      </w:pPr>
      <w:r>
        <w:t xml:space="preserve">Supplement comment 0: Missing values in subtype distribution</w:t>
      </w:r>
    </w:p>
    <w:p>
      <w:pPr>
        <w:pStyle w:val="FirstParagraph"/>
      </w:pPr>
      <w:r>
        <w:t xml:space="preserve">Supplementary Table S2 now separates globally tested patients with a binary subtype result, positive counts, unavailable subtype results and the further known-carrier exclusions used for modelling. Positivity uses the specific binary-result denominator; it is not mixed with the distribution among globally positive patients. Unknown or not-performed subtype results are not assumed negative. The exact raw-availability numbers before predictive exclusions are: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label</w:t>
            </w:r>
          </w:p>
        </w:tc>
        <w:tc>
          <w:tcPr/>
          <w:p>
            <w:pPr>
              <w:pStyle w:val="Compact"/>
              <w:jc w:val="left"/>
            </w:pPr>
            <w:r>
              <w:t xml:space="preserve">tested_binary_n</w:t>
            </w:r>
          </w:p>
        </w:tc>
        <w:tc>
          <w:tcPr/>
          <w:p>
            <w:pPr>
              <w:pStyle w:val="Compact"/>
              <w:jc w:val="left"/>
            </w:pPr>
            <w:r>
              <w:t xml:space="preserve">tested_positive_n</w:t>
            </w:r>
          </w:p>
        </w:tc>
        <w:tc>
          <w:tcPr/>
          <w:p>
            <w:pPr>
              <w:pStyle w:val="Compact"/>
              <w:jc w:val="left"/>
            </w:pPr>
            <w:r>
              <w:t xml:space="preserve">positive_percent</w:t>
            </w:r>
          </w:p>
        </w:tc>
        <w:tc>
          <w:tcPr/>
          <w:p>
            <w:pPr>
              <w:pStyle w:val="Compact"/>
              <w:jc w:val="left"/>
            </w:pPr>
            <w:r>
              <w:t xml:space="preserve">tested_unavailable_n</w:t>
            </w:r>
          </w:p>
        </w:tc>
        <w:tc>
          <w:tcPr/>
          <w:p>
            <w:pPr>
              <w:pStyle w:val="Compact"/>
              <w:jc w:val="left"/>
            </w:pPr>
            <w:r>
              <w:t xml:space="preserve">known_excluded_n</w:t>
            </w:r>
          </w:p>
        </w:tc>
        <w:tc>
          <w:tcPr/>
          <w:p>
            <w:pPr>
              <w:pStyle w:val="Compact"/>
              <w:jc w:val="left"/>
            </w:pPr>
            <w:r>
              <w:t xml:space="preserve">eligible_n</w:t>
            </w:r>
          </w:p>
        </w:tc>
      </w:tr>
      <w:tr>
        <w:tc>
          <w:tcPr/>
          <w:p>
            <w:pPr>
              <w:pStyle w:val="Compact"/>
              <w:jc w:val="left"/>
            </w:pPr>
            <w:r>
              <w:t xml:space="preserve">Factor V Leiden</w:t>
            </w:r>
          </w:p>
        </w:tc>
        <w:tc>
          <w:tcPr/>
          <w:p>
            <w:pPr>
              <w:pStyle w:val="Compact"/>
              <w:jc w:val="left"/>
            </w:pPr>
            <w:r>
              <w:t xml:space="preserve">10638</w:t>
            </w:r>
          </w:p>
        </w:tc>
        <w:tc>
          <w:tcPr/>
          <w:p>
            <w:pPr>
              <w:pStyle w:val="Compact"/>
              <w:jc w:val="left"/>
            </w:pPr>
            <w:r>
              <w:t xml:space="preserve">2048</w:t>
            </w:r>
          </w:p>
        </w:tc>
        <w:tc>
          <w:tcPr/>
          <w:p>
            <w:pPr>
              <w:pStyle w:val="Compact"/>
              <w:jc w:val="left"/>
            </w:pPr>
            <w:r>
              <w:t xml:space="preserve">19.252</w:t>
            </w:r>
          </w:p>
        </w:tc>
        <w:tc>
          <w:tcPr/>
          <w:p>
            <w:pPr>
              <w:pStyle w:val="Compact"/>
              <w:jc w:val="left"/>
            </w:pPr>
            <w:r>
              <w:t xml:space="preserve">12236</w:t>
            </w:r>
          </w:p>
        </w:tc>
        <w:tc>
          <w:tcPr/>
          <w:p>
            <w:pPr>
              <w:pStyle w:val="Compact"/>
              <w:jc w:val="left"/>
            </w:pPr>
            <w:r>
              <w:t xml:space="preserve">20</w:t>
            </w:r>
          </w:p>
        </w:tc>
        <w:tc>
          <w:tcPr/>
          <w:p>
            <w:pPr>
              <w:pStyle w:val="Compact"/>
              <w:jc w:val="left"/>
            </w:pPr>
            <w:r>
              <w:t xml:space="preserve">10618</w:t>
            </w:r>
          </w:p>
        </w:tc>
      </w:tr>
      <w:tr>
        <w:tc>
          <w:tcPr/>
          <w:p>
            <w:pPr>
              <w:pStyle w:val="Compact"/>
              <w:jc w:val="left"/>
            </w:pPr>
            <w:r>
              <w:t xml:space="preserve">Prothrombin G20210A</w:t>
            </w:r>
          </w:p>
        </w:tc>
        <w:tc>
          <w:tcPr/>
          <w:p>
            <w:pPr>
              <w:pStyle w:val="Compact"/>
              <w:jc w:val="left"/>
            </w:pPr>
            <w:r>
              <w:t xml:space="preserve">10376</w:t>
            </w:r>
          </w:p>
        </w:tc>
        <w:tc>
          <w:tcPr/>
          <w:p>
            <w:pPr>
              <w:pStyle w:val="Compact"/>
              <w:jc w:val="left"/>
            </w:pPr>
            <w:r>
              <w:t xml:space="preserve">1602</w:t>
            </w:r>
          </w:p>
        </w:tc>
        <w:tc>
          <w:tcPr/>
          <w:p>
            <w:pPr>
              <w:pStyle w:val="Compact"/>
              <w:jc w:val="left"/>
            </w:pPr>
            <w:r>
              <w:t xml:space="preserve">15.439</w:t>
            </w:r>
          </w:p>
        </w:tc>
        <w:tc>
          <w:tcPr/>
          <w:p>
            <w:pPr>
              <w:pStyle w:val="Compact"/>
              <w:jc w:val="left"/>
            </w:pPr>
            <w:r>
              <w:t xml:space="preserve">12498</w:t>
            </w:r>
          </w:p>
        </w:tc>
        <w:tc>
          <w:tcPr/>
          <w:p>
            <w:pPr>
              <w:pStyle w:val="Compact"/>
              <w:jc w:val="left"/>
            </w:pPr>
            <w:r>
              <w:t xml:space="preserve">20</w:t>
            </w:r>
          </w:p>
        </w:tc>
        <w:tc>
          <w:tcPr/>
          <w:p>
            <w:pPr>
              <w:pStyle w:val="Compact"/>
              <w:jc w:val="left"/>
            </w:pPr>
            <w:r>
              <w:t xml:space="preserve">10356</w:t>
            </w:r>
          </w:p>
        </w:tc>
      </w:tr>
      <w:tr>
        <w:tc>
          <w:tcPr/>
          <w:p>
            <w:pPr>
              <w:pStyle w:val="Compact"/>
              <w:jc w:val="left"/>
            </w:pPr>
            <w:r>
              <w:t xml:space="preserve">Registry-coded APS</w:t>
            </w:r>
          </w:p>
        </w:tc>
        <w:tc>
          <w:tcPr/>
          <w:p>
            <w:pPr>
              <w:pStyle w:val="Compact"/>
              <w:jc w:val="left"/>
            </w:pPr>
            <w:r>
              <w:t xml:space="preserve">10710</w:t>
            </w:r>
          </w:p>
        </w:tc>
        <w:tc>
          <w:tcPr/>
          <w:p>
            <w:pPr>
              <w:pStyle w:val="Compact"/>
              <w:jc w:val="left"/>
            </w:pPr>
            <w:r>
              <w:t xml:space="preserve">1908</w:t>
            </w:r>
          </w:p>
        </w:tc>
        <w:tc>
          <w:tcPr/>
          <w:p>
            <w:pPr>
              <w:pStyle w:val="Compact"/>
              <w:jc w:val="left"/>
            </w:pPr>
            <w:r>
              <w:t xml:space="preserve">17.815</w:t>
            </w:r>
          </w:p>
        </w:tc>
        <w:tc>
          <w:tcPr/>
          <w:p>
            <w:pPr>
              <w:pStyle w:val="Compact"/>
              <w:jc w:val="left"/>
            </w:pPr>
            <w:r>
              <w:t xml:space="preserve">12164</w:t>
            </w:r>
          </w:p>
        </w:tc>
        <w:tc>
          <w:tcPr/>
          <w:p>
            <w:pPr>
              <w:pStyle w:val="Compact"/>
              <w:jc w:val="left"/>
            </w:pPr>
            <w:r>
              <w:t xml:space="preserve">25</w:t>
            </w:r>
          </w:p>
        </w:tc>
        <w:tc>
          <w:tcPr/>
          <w:p>
            <w:pPr>
              <w:pStyle w:val="Compact"/>
              <w:jc w:val="left"/>
            </w:pPr>
            <w:r>
              <w:t xml:space="preserve">10685</w:t>
            </w:r>
          </w:p>
        </w:tc>
      </w:tr>
      <w:tr>
        <w:tc>
          <w:tcPr/>
          <w:p>
            <w:pPr>
              <w:pStyle w:val="Compact"/>
              <w:jc w:val="left"/>
            </w:pPr>
            <w:r>
              <w:t xml:space="preserve">Protein S deficiency</w:t>
            </w:r>
          </w:p>
        </w:tc>
        <w:tc>
          <w:tcPr/>
          <w:p>
            <w:pPr>
              <w:pStyle w:val="Compact"/>
              <w:jc w:val="left"/>
            </w:pPr>
            <w:r>
              <w:t xml:space="preserve">10315</w:t>
            </w:r>
          </w:p>
        </w:tc>
        <w:tc>
          <w:tcPr/>
          <w:p>
            <w:pPr>
              <w:pStyle w:val="Compact"/>
              <w:jc w:val="left"/>
            </w:pPr>
            <w:r>
              <w:t xml:space="preserve">757</w:t>
            </w:r>
          </w:p>
        </w:tc>
        <w:tc>
          <w:tcPr/>
          <w:p>
            <w:pPr>
              <w:pStyle w:val="Compact"/>
              <w:jc w:val="left"/>
            </w:pPr>
            <w:r>
              <w:t xml:space="preserve">7.339</w:t>
            </w:r>
          </w:p>
        </w:tc>
        <w:tc>
          <w:tcPr/>
          <w:p>
            <w:pPr>
              <w:pStyle w:val="Compact"/>
              <w:jc w:val="left"/>
            </w:pPr>
            <w:r>
              <w:t xml:space="preserve">12559</w:t>
            </w:r>
          </w:p>
        </w:tc>
        <w:tc>
          <w:tcPr/>
          <w:p>
            <w:pPr>
              <w:pStyle w:val="Compact"/>
              <w:jc w:val="left"/>
            </w:pPr>
            <w:r>
              <w:t xml:space="preserve">20</w:t>
            </w:r>
          </w:p>
        </w:tc>
        <w:tc>
          <w:tcPr/>
          <w:p>
            <w:pPr>
              <w:pStyle w:val="Compact"/>
              <w:jc w:val="left"/>
            </w:pPr>
            <w:r>
              <w:t xml:space="preserve">10295</w:t>
            </w:r>
          </w:p>
        </w:tc>
      </w:tr>
      <w:tr>
        <w:tc>
          <w:tcPr/>
          <w:p>
            <w:pPr>
              <w:pStyle w:val="Compact"/>
              <w:jc w:val="left"/>
            </w:pPr>
            <w:r>
              <w:t xml:space="preserve">Protein C deficiency</w:t>
            </w:r>
          </w:p>
        </w:tc>
        <w:tc>
          <w:tcPr/>
          <w:p>
            <w:pPr>
              <w:pStyle w:val="Compact"/>
              <w:jc w:val="left"/>
            </w:pPr>
            <w:r>
              <w:t xml:space="preserve">10275</w:t>
            </w:r>
          </w:p>
        </w:tc>
        <w:tc>
          <w:tcPr/>
          <w:p>
            <w:pPr>
              <w:pStyle w:val="Compact"/>
              <w:jc w:val="left"/>
            </w:pPr>
            <w:r>
              <w:t xml:space="preserve">356</w:t>
            </w:r>
          </w:p>
        </w:tc>
        <w:tc>
          <w:tcPr/>
          <w:p>
            <w:pPr>
              <w:pStyle w:val="Compact"/>
              <w:jc w:val="left"/>
            </w:pPr>
            <w:r>
              <w:t xml:space="preserve">3.465</w:t>
            </w:r>
          </w:p>
        </w:tc>
        <w:tc>
          <w:tcPr/>
          <w:p>
            <w:pPr>
              <w:pStyle w:val="Compact"/>
              <w:jc w:val="left"/>
            </w:pPr>
            <w:r>
              <w:t xml:space="preserve">12599</w:t>
            </w:r>
          </w:p>
        </w:tc>
        <w:tc>
          <w:tcPr/>
          <w:p>
            <w:pPr>
              <w:pStyle w:val="Compact"/>
              <w:jc w:val="left"/>
            </w:pPr>
            <w:r>
              <w:t xml:space="preserve">20</w:t>
            </w:r>
          </w:p>
        </w:tc>
        <w:tc>
          <w:tcPr/>
          <w:p>
            <w:pPr>
              <w:pStyle w:val="Compact"/>
              <w:jc w:val="left"/>
            </w:pPr>
            <w:r>
              <w:t xml:space="preserve">10255</w:t>
            </w:r>
          </w:p>
        </w:tc>
      </w:tr>
      <w:tr>
        <w:tc>
          <w:tcPr/>
          <w:p>
            <w:pPr>
              <w:pStyle w:val="Compact"/>
              <w:jc w:val="left"/>
            </w:pPr>
            <w:r>
              <w:t xml:space="preserve">Antithrombin deficiency</w:t>
            </w:r>
          </w:p>
        </w:tc>
        <w:tc>
          <w:tcPr/>
          <w:p>
            <w:pPr>
              <w:pStyle w:val="Compact"/>
              <w:jc w:val="left"/>
            </w:pPr>
            <w:r>
              <w:t xml:space="preserve">10333</w:t>
            </w:r>
          </w:p>
        </w:tc>
        <w:tc>
          <w:tcPr/>
          <w:p>
            <w:pPr>
              <w:pStyle w:val="Compact"/>
              <w:jc w:val="left"/>
            </w:pPr>
            <w:r>
              <w:t xml:space="preserve">260</w:t>
            </w:r>
          </w:p>
        </w:tc>
        <w:tc>
          <w:tcPr/>
          <w:p>
            <w:pPr>
              <w:pStyle w:val="Compact"/>
              <w:jc w:val="left"/>
            </w:pPr>
            <w:r>
              <w:t xml:space="preserve">2.516</w:t>
            </w:r>
          </w:p>
        </w:tc>
        <w:tc>
          <w:tcPr/>
          <w:p>
            <w:pPr>
              <w:pStyle w:val="Compact"/>
              <w:jc w:val="left"/>
            </w:pPr>
            <w:r>
              <w:t xml:space="preserve">12541</w:t>
            </w:r>
          </w:p>
        </w:tc>
        <w:tc>
          <w:tcPr/>
          <w:p>
            <w:pPr>
              <w:pStyle w:val="Compact"/>
              <w:jc w:val="left"/>
            </w:pPr>
            <w:r>
              <w:t xml:space="preserve">20</w:t>
            </w:r>
          </w:p>
        </w:tc>
        <w:tc>
          <w:tcPr/>
          <w:p>
            <w:pPr>
              <w:pStyle w:val="Compact"/>
              <w:jc w:val="left"/>
            </w:pPr>
            <w:r>
              <w:t xml:space="preserve">10313</w:t>
            </w:r>
          </w:p>
        </w:tc>
      </w:tr>
      <w:tr>
        <w:tc>
          <w:tcPr/>
          <w:p>
            <w:pPr>
              <w:pStyle w:val="Compact"/>
              <w:jc w:val="left"/>
            </w:pPr>
            <w:r>
              <w:t xml:space="preserve">JAK2 mutation</w:t>
            </w:r>
          </w:p>
        </w:tc>
        <w:tc>
          <w:tcPr/>
          <w:p>
            <w:pPr>
              <w:pStyle w:val="Compact"/>
              <w:jc w:val="left"/>
            </w:pPr>
            <w:r>
              <w:t xml:space="preserve">2246</w:t>
            </w:r>
          </w:p>
        </w:tc>
        <w:tc>
          <w:tcPr/>
          <w:p>
            <w:pPr>
              <w:pStyle w:val="Compact"/>
              <w:jc w:val="left"/>
            </w:pPr>
            <w:r>
              <w:t xml:space="preserve">61</w:t>
            </w:r>
          </w:p>
        </w:tc>
        <w:tc>
          <w:tcPr/>
          <w:p>
            <w:pPr>
              <w:pStyle w:val="Compact"/>
              <w:jc w:val="left"/>
            </w:pPr>
            <w:r>
              <w:t xml:space="preserve">2.716</w:t>
            </w:r>
          </w:p>
        </w:tc>
        <w:tc>
          <w:tcPr/>
          <w:p>
            <w:pPr>
              <w:pStyle w:val="Compact"/>
              <w:jc w:val="left"/>
            </w:pPr>
            <w:r>
              <w:t xml:space="preserve">20628</w:t>
            </w:r>
          </w:p>
        </w:tc>
        <w:tc>
          <w:tcPr/>
          <w:p>
            <w:pPr>
              <w:pStyle w:val="Compact"/>
              <w:jc w:val="left"/>
            </w:pPr>
            <w:r>
              <w:t xml:space="preserve">7</w:t>
            </w:r>
          </w:p>
        </w:tc>
        <w:tc>
          <w:tcPr/>
          <w:p>
            <w:pPr>
              <w:pStyle w:val="Compact"/>
              <w:jc w:val="left"/>
            </w:pPr>
            <w:r>
              <w:t xml:space="preserve">2239</w:t>
            </w:r>
          </w:p>
        </w:tc>
      </w:tr>
    </w:tbl>
    <w:bookmarkEnd w:id="35"/>
    <w:bookmarkStart w:id="36" w:name="where-to-find-the-manuscript-ready-text"/>
    <w:p>
      <w:pPr>
        <w:pStyle w:val="Heading2"/>
      </w:pPr>
      <w:r>
        <w:t xml:space="preserve">Where to find the manuscript-ready text</w:t>
      </w:r>
    </w:p>
    <w:p>
      <w:pPr>
        <w:pStyle w:val="FirstParagraph"/>
      </w:pPr>
      <w:r>
        <w:t xml:space="preserve">replacement_manuscript_sections.md/.docx contains the replacement Methods, Results, conclusion and main tables. recalculated_supplement.md/.docx contains definitions, missingness, temporal/calibration tables and all final score cards. CSV files are the numeric source of truth; figures/ contains standalone PNG and SVG files.</w:t>
      </w:r>
    </w:p>
    <w:bookmarkEnd w:id="36"/>
    <w:bookmarkStart w:id="37" w:name="X1dcf062f65063f7297c30071708fdb8c7d75e67"/>
    <w:p>
      <w:pPr>
        <w:pStyle w:val="Heading2"/>
      </w:pPr>
      <w:r>
        <w:t xml:space="preserve">Remaining limitations that wording cannot remove</w:t>
      </w:r>
    </w:p>
    <w:p>
      <w:pPr>
        <w:pStyle w:val="FirstParagraph"/>
      </w:pPr>
      <w:r>
        <w:t xml:space="preserve">No independent assay-completion flag, laboratory repeat-confirmation record, anticoagulant-at-assay timestamp, or centre/country validation identifier was available. Those limitations are reported explicitly. No new clinical facts were inferred from their absence. Complete-case attrition and the exploratory nature of the cards remain substantive limitations.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ns0:styles xmlns:ns0="http://schemas.openxmlformats.org/wordprocessingml/2006/main">
  <ns0:docDefaults>
    <ns0:rPrDefault>
      <ns0:rPr>
        <ns0:rFonts ns0:asciiTheme="minorHAnsi" ns0:cstheme="minorBidi" ns0:eastAsiaTheme="minorHAnsi" ns0:hAnsiTheme="minorHAnsi" />
        <ns0:sz ns0:val="20" />
        <ns0:szCs ns0:val="20" />
        <ns0:lang ns0:bidi="ar-SA" ns0:eastAsia="en-US" ns0:val="en-US" />
      </ns0:rPr>
    </ns0:rPrDefault>
    <ns0:pPrDefault>
      <ns0:pPr>
        <ns0:spacing ns0:after="200" />
      </ns0:pPr>
    </ns0:pPrDefault>
  </ns0:docDefaults>
  <ns0:latentStyles ns0:count="276" ns0:defLockedState="0" ns0:defQFormat="0" ns0:defSemiHidden="0" ns0:defUIPriority="0" ns0:defUnhideWhenUsed="0" />
  <ns0:style ns0:default="1" ns0:styleId="Normal" ns0:type="paragraph">
    <ns0:name ns0:val="Normal" />
    <ns0:qFormat />
  </ns0:style>
    <ns0:style ns0:styleId="BodyText" ns0:type="paragraph">
    <ns0:name ns0:val="Body Text" />
    <ns0:basedOn ns0:val="Normal" />
    <ns0:link ns0:val="BodyTextChar" />
    <ns0:pPr>
      <ns0:spacing ns0:after="180" ns0:before="180" />
    </ns0:pPr>
    <ns0:qFormat />
  </ns0:style>
  <ns0:style ns0:customStyle="1" ns0:styleId="FirstParagraph" ns0:type="paragraph">
    <ns0:name ns0:val="First Paragraph" />
    <ns0:basedOn ns0:val="BodyText" />
    <ns0:next ns0:val="BodyText" />
    <ns0:qFormat />
  </ns0:style>
  <ns0:style ns0:customStyle="1" ns0:styleId="Compact" ns0:type="paragraph">
    <ns0:name ns0:val="Compact" />
    <ns0:basedOn ns0:val="BodyText" />
    <ns0:qFormat />
    <ns0:pPr>
      <ns0:spacing ns0:after="36" ns0:before="36" />
    </ns0:pPr>
  </ns0:style>
  <ns0:style ns0:styleId="Title" ns0:type="paragraph">
    <ns0:name ns0:val="Title" />
    <ns0:basedOn ns0:val="Normal" />
    <ns0:next ns0:val="BodyText" />
    <ns0:qFormat />
    <ns0:pPr>
      <ns0:keepNext />
      <ns0:keepLines />
      <ns0:spacing ns0:after="240" ns0:before="480" />
      <ns0:jc ns0:val="center" />
    </ns0:pPr>
    <ns0:rPr>
      <ns0:rFonts ns0:asciiTheme="majorHAnsi" ns0:cstheme="majorBidi" ns0:eastAsiaTheme="majorEastAsia" ns0:hAnsiTheme="majorHAnsi" />
      <ns0:b />
      <ns0:bCs />
      <ns0:color ns0:themeColor="accent1" ns0:themeShade="B5" ns0:val="345A8A" />
      <ns0:sz ns0:val="36" />
      <ns0:szCs ns0:val="36" />
    </ns0:rPr>
  </ns0:style>
 <ns0:style ns0:styleId="Subtitle" ns0:type="paragraph">
    <ns0:name ns0:val="Subtitle" />
    <ns0:basedOn ns0:val="Title" />
    <ns0:next ns0:val="BodyText" />
    <ns0:qFormat />
    <ns0:pPr>
      <ns0:keepNext />
      <ns0:keepLines />
      <ns0:spacing ns0:after="240" ns0:before="240" />
      <ns0:jc ns0:val="center" />
    </ns0:pPr>
    <ns0:rPr>
      <ns0:sz ns0:val="30" />
      <ns0:szCs ns0:val="30" />
    </ns0:rPr>
 </ns0:style>
  <ns0:style ns0:customStyle="1" ns0:styleId="Author" ns0:type="paragraph">
    <ns0:name ns0:val="Author" />
    <ns0:next ns0:val="BodyText" />
    <ns0:qFormat />
    <ns0:pPr>
      <ns0:keepNext />
      <ns0:keepLines />
      <ns0:jc ns0:val="center" />
    </ns0:pPr>
  </ns0:style>
  <ns0:style ns0:styleId="Date" ns0:type="paragraph">
    <ns0:name ns0:val="Date" />
    <ns0:next ns0:val="BodyText" />
    <ns0:qFormat />
    <ns0:pPr>
      <ns0:keepNext />
      <ns0:keepLines />
      <ns0:jc ns0:val="center" />
    </ns0:pPr>
  </ns0:style>
  <ns0:style ns0:customStyle="1" ns0:styleId="AbstractTitle" ns0:type="paragraph">
    <ns0:name ns0:val="Abstract Title" />
    <ns0:basedOn ns0:val="Normal" />
    <ns0:next ns0:val="Abstract" />
    <ns0:qFormat />
    <ns0:pPr>
      <ns0:keepNext />
      <ns0:keepLines />
      <ns0:jc ns0:val="center" />
      <ns0:spacing ns0:after="0" ns0:before="300" />
    </ns0:pPr>
    <ns0:rPr>
      <ns0:sz ns0:val="20" />
      <ns0:szCs ns0:val="20" />
      <ns0:b />
      <ns0:color ns0:val="345A8A" />&gt;
    </ns0:rPr>
  </ns0:style>
  <ns0:style ns0:customStyle="1" ns0:styleId="Abstract" ns0:type="paragraph">
    <ns0:name ns0:val="Abstract" />
    <ns0:basedOn ns0:val="Normal" />
    <ns0:next ns0:val="BodyText" />
    <ns0:qFormat />
    <ns0:pPr>
      <ns0:keepNext />
      <ns0:keepLines />
      <ns0:spacing ns0:after="300" ns0:before="100" />
    </ns0:pPr>
    <ns0:rPr>
      <ns0:sz ns0:val="20" />
      <ns0:szCs ns0:val="20" />
    </ns0:rPr>
  </ns0:style>
  <ns0:style ns0:styleId="Bibliography" ns0:type="paragraph">
    <ns0:name ns0:val="Bibliography" />
    <ns0:basedOn ns0:val="Normal" />
    <ns0:next ns0:val="Bibliography" />
    <ns0:qFormat />
    <ns0:pPr />
    <ns0:rPr />
  </ns0:style>
  <ns0:style ns0:styleId="Heading1" ns0:type="paragraph">
    <ns0:name ns0:val="Heading 1" />
    <ns0:basedOn ns0:val="Normal" />
    <ns0:next ns0:val="BodyText" />
    <ns0:uiPriority ns0:val="9" />
    <ns0:qFormat />
    <ns0:pPr>
      <ns0:keepNext />
      <ns0:keepLines />
      <ns0:spacing ns0:after="0" ns0:before="480" />
      <ns0:outlineLvl ns0:val="0" />
    </ns0:pPr>
    <ns0:rPr>
      <ns0:rFonts ns0:asciiTheme="majorHAnsi" ns0:cstheme="majorBidi" ns0:eastAsiaTheme="majorEastAsia" ns0:hAnsiTheme="majorHAnsi" />
      <ns0:b />
      <ns0:bCs />
      <ns0:color ns0:themeColor="accent1" ns0:val="4F81BD" />
      <ns0:sz ns0:val="32" />
      <ns0:szCs ns0:val="32" />
    </ns0:rPr>
  </ns0:style>
  <ns0:style ns0:styleId="Heading2" ns0:type="paragraph">
    <ns0:name ns0:val="Heading 2" />
    <ns0:basedOn ns0:val="Normal" />
    <ns0:next ns0:val="BodyText" />
    <ns0:uiPriority ns0:val="9" />
    <ns0:unhideWhenUsed />
    <ns0:qFormat />
    <ns0:pPr>
      <ns0:keepNext />
      <ns0:keepLines />
      <ns0:spacing ns0:after="0" ns0:before="200" />
      <ns0:outlineLvl ns0:val="1" />
    </ns0:pPr>
    <ns0:rPr>
      <ns0:rFonts ns0:asciiTheme="majorHAnsi" ns0:cstheme="majorBidi" ns0:eastAsiaTheme="majorEastAsia" ns0:hAnsiTheme="majorHAnsi" />
      <ns0:b />
      <ns0:bCs />
      <ns0:color ns0:themeColor="accent1" ns0:val="4F81BD" />
      <ns0:sz ns0:val="28" />
      <ns0:szCs ns0:val="28" />
    </ns0:rPr>
  </ns0:style>
  <ns0:style ns0:styleId="Heading3" ns0:type="paragraph">
    <ns0:name ns0:val="Heading 3" />
    <ns0:basedOn ns0:val="Normal" />
    <ns0:next ns0:val="BodyText" />
    <ns0:uiPriority ns0:val="9" />
    <ns0:unhideWhenUsed />
    <ns0:qFormat />
    <ns0:pPr>
      <ns0:keepNext />
      <ns0:keepLines />
      <ns0:spacing ns0:after="0" ns0:before="200" />
      <ns0:outlineLvl ns0:val="2" />
    </ns0:pPr>
    <ns0:rPr>
      <ns0:rFonts ns0:asciiTheme="majorHAnsi" ns0:cstheme="majorBidi" ns0:eastAsiaTheme="majorEastAsia" ns0:hAnsiTheme="majorHAnsi" />
      <ns0:b />
      <ns0:bCs />
      <ns0:color ns0:themeColor="accent1" ns0:val="4F81BD" />
      <ns0:sz ns0:val="24" />
      <ns0:szCs ns0:val="24" />
    </ns0:rPr>
  </ns0:style>
  <ns0:style ns0:styleId="Heading4" ns0:type="paragraph">
    <ns0:name ns0:val="Heading 4" />
    <ns0:basedOn ns0:val="Normal" />
    <ns0:next ns0:val="BodyText" />
    <ns0:uiPriority ns0:val="9" />
    <ns0:unhideWhenUsed />
    <ns0:qFormat />
    <ns0:pPr>
      <ns0:keepNext />
      <ns0:keepLines />
      <ns0:spacing ns0:after="0" ns0:before="200" />
      <ns0:outlineLvl ns0:val="3" />
    </ns0:pPr>
    <ns0:rPr>
      <ns0:rFonts ns0:asciiTheme="majorHAnsi" ns0:cstheme="majorBidi" ns0:eastAsiaTheme="majorEastAsia" ns0:hAnsiTheme="majorHAnsi" />
      <ns0:i />
      <ns0:bCs />
      <ns0:color ns0:themeColor="accent1" ns0:val="4F81BD" />
      <ns0:sz ns0:val="24" />
      <ns0:szCs ns0:val="24" />
    </ns0:rPr>
  </ns0:style>
  <ns0:style ns0:styleId="Heading5" ns0:type="paragraph">
    <ns0:name ns0:val="Heading 5" />
    <ns0:basedOn ns0:val="Normal" />
    <ns0:next ns0:val="BodyText" />
    <ns0:uiPriority ns0:val="9" />
    <ns0:unhideWhenUsed />
    <ns0:qFormat />
    <ns0:pPr>
      <ns0:keepNext />
      <ns0:keepLines />
      <ns0:spacing ns0:after="0" ns0:before="200" />
      <ns0:outlineLvl ns0:val="4" />
    </ns0:pPr>
    <ns0:rPr>
      <ns0:rFonts ns0:asciiTheme="majorHAnsi" ns0:cstheme="majorBidi" ns0:eastAsiaTheme="majorEastAsia" ns0:hAnsiTheme="majorHAnsi" />
      <ns0:iCs />
      <ns0:color ns0:themeColor="accent1" ns0:val="4F81BD" />
      <ns0:sz ns0:val="24" />
      <ns0:szCs ns0:val="24" />
    </ns0:rPr>
  </ns0:style>
  <ns0:style ns0:styleId="Heading6" ns0:type="paragraph">
    <ns0:name ns0:val="Heading 6" />
    <ns0:basedOn ns0:val="Normal" />
    <ns0:next ns0:val="BodyText" />
    <ns0:uiPriority ns0:val="9" />
    <ns0:unhideWhenUsed />
    <ns0:qFormat />
    <ns0:pPr>
      <ns0:keepNext />
      <ns0:keepLines />
      <ns0:spacing ns0:after="0" ns0:before="200" />
      <ns0:outlineLvl ns0:val="5" />
    </ns0:pPr>
    <ns0:rPr>
      <ns0:rFonts ns0:asciiTheme="majorHAnsi" ns0:cstheme="majorBidi" ns0:eastAsiaTheme="majorEastAsia" ns0:hAnsiTheme="majorHAnsi" />
      <ns0:color ns0:themeColor="accent1" ns0:val="4F81BD" />
      <ns0:sz ns0:val="24" />
      <ns0:szCs ns0:val="24" />
    </ns0:rPr>
  </ns0:style>
  <ns0:style ns0:styleId="Heading7" ns0:type="paragraph">
    <ns0:name ns0:val="Heading 7" />
    <ns0:basedOn ns0:val="Normal" />
    <ns0:next ns0:val="BodyText" />
    <ns0:uiPriority ns0:val="9" />
    <ns0:unhideWhenUsed />
    <ns0:qFormat />
    <ns0:pPr>
      <ns0:keepNext />
      <ns0:keepLines />
      <ns0:spacing ns0:after="0" ns0:before="200" />
      <ns0:outlineLvl ns0:val="6" />
    </ns0:pPr>
    <ns0:rPr>
      <ns0:rFonts ns0:asciiTheme="majorHAnsi" ns0:cstheme="majorBidi" ns0:eastAsiaTheme="majorEastAsia" ns0:hAnsiTheme="majorHAnsi" />
      <ns0:color ns0:themeColor="accent1" ns0:val="4F81BD" />
      <ns0:sz ns0:val="24" />
      <ns0:szCs ns0:val="24" />
    </ns0:rPr>
  </ns0:style>
  <ns0:style ns0:styleId="Heading8" ns0:type="paragraph">
    <ns0:name ns0:val="Heading 8" />
    <ns0:basedOn ns0:val="Normal" />
    <ns0:next ns0:val="BodyText" />
    <ns0:uiPriority ns0:val="9" />
    <ns0:unhideWhenUsed />
    <ns0:qFormat />
    <ns0:pPr>
      <ns0:keepNext />
      <ns0:keepLines />
      <ns0:spacing ns0:after="0" ns0:before="200" />
      <ns0:outlineLvl ns0:val="7" />
    </ns0:pPr>
    <ns0:rPr>
      <ns0:rFonts ns0:asciiTheme="majorHAnsi" ns0:cstheme="majorBidi" ns0:eastAsiaTheme="majorEastAsia" ns0:hAnsiTheme="majorHAnsi" />
      <ns0:color ns0:themeColor="accent1" ns0:val="4F81BD" />
      <ns0:sz ns0:val="24" />
      <ns0:szCs ns0:val="24" />
    </ns0:rPr>
  </ns0:style>
  <ns0:style ns0:styleId="Heading9" ns0:type="paragraph">
    <ns0:name ns0:val="Heading 9" />
    <ns0:basedOn ns0:val="Normal" />
    <ns0:next ns0:val="BodyText" />
    <ns0:uiPriority ns0:val="9" />
    <ns0:unhideWhenUsed />
    <ns0:qFormat />
    <ns0:pPr>
      <ns0:keepNext />
      <ns0:keepLines />
      <ns0:spacing ns0:after="0" ns0:before="200" />
      <ns0:outlineLvl ns0:val="8" />
    </ns0:pPr>
    <ns0:rPr>
      <ns0:rFonts ns0:asciiTheme="majorHAnsi" ns0:cstheme="majorBidi" ns0:eastAsiaTheme="majorEastAsia" ns0:hAnsiTheme="majorHAnsi" />
      <ns0:color ns0:themeColor="accent1" ns0:val="4F81BD" />
      <ns0:sz ns0:val="24" />
      <ns0:szCs ns0:val="24" />
    </ns0:rPr>
  </ns0:style>
  <ns0:style ns0:styleId="BlockText" ns0:type="paragraph">
    <ns0:name ns0:val="Block Text" />
    <ns0:basedOn ns0:val="BodyText" />
    <ns0:next ns0:val="BodyText" />
    <ns0:uiPriority ns0:val="9" />
    <ns0:unhideWhenUsed />
    <ns0:qFormat />
    <ns0:pPr>
      <ns0:spacing ns0:after="100" ns0:before="100" />
      <ns0:ind ns0:firstLine="0" ns0:left="480" ns0:right="480" />
    </ns0:pPr>
  </ns0:style>
  <ns0:style ns0:styleId="FootnoteText" ns0:type="paragraph">
    <ns0:name ns0:val="Footnote Text" />
    <ns0:basedOn ns0:val="Normal" />
    <ns0:next ns0:val="FootnoteText" />
    <ns0:uiPriority ns0:val="9" />
    <ns0:unhideWhenUsed />
    <ns0:qFormat />
  </ns0:style>
  <ns0:style ns0:default="1" ns0:styleId="DefaultParagraphFont" ns0:type="character">
    <ns0:name ns0:val="Default Paragraph Font" />
    <ns0:semiHidden />
    <ns0:unhideWhenUsed />
  </ns0:style>
  <ns0:style ns0:default="1" ns0:styleId="Table" ns0:type="table">
    <ns0:name ns0:val="Table" />
    <ns0:basedOn ns0:val="TableNormal" />
    <ns0:semiHidden />
    <ns0:unhideWhenUsed />
    <ns0:qFormat />
    <ns0:tblPr>
      <ns0:tblInd ns0:type="dxa" ns0:w="0" />
      <ns0:tblCellMar>
        <ns0:top ns0:type="dxa" ns0:w="0" />
        <ns0:left ns0:type="dxa" ns0:w="108" />
        <ns0:bottom ns0:type="dxa" ns0:w="0" />
        <ns0:right ns0:type="dxa" ns0:w="108" />
      </ns0:tblCellMar>
    </ns0:tblPr>
    <ns0:tblStylePr ns0:type="firstRow">
      <ns0:tblPr>
        <ns0:jc ns0:val="left" />
        <ns0:tblInd ns0:type="dxa" ns0:w="0" />
      </ns0:tblPr>
      <ns0:trPr>
        <ns0:jc ns0:val="left" />
      </ns0:trPr>
      <ns0:tcPr>
        <ns0:vAlign ns0:val="bottom" />
        <ns0:tcBorders>
          <ns0:bottom ns0:val="single" />
        </ns0:tcBorders>
      </ns0:tcPr>
    </ns0:tblStylePr>
  </ns0:style>
  <ns0:style ns0:customStyle="1" ns0:styleId="DefinitionTerm" ns0:type="paragraph">
    <ns0:name ns0:val="Definition Term" />
    <ns0:basedOn ns0:val="Normal" />
    <ns0:next ns0:val="Definition" />
    <ns0:pPr>
      <ns0:keepNext />
      <ns0:keepLines />
      <ns0:spacing ns0:after="0" />
    </ns0:pPr>
    <ns0:rPr>
      <ns0:b />
    </ns0:rPr>
  </ns0:style>
  <ns0:style ns0:customStyle="1" ns0:styleId="Definition" ns0:type="paragraph">
    <ns0:name ns0:val="Definition" />
    <ns0:basedOn ns0:val="Normal" />
  </ns0:style>
  <ns0:style ns0:styleId="Caption" ns0:type="paragraph">
    <ns0:name ns0:val="Caption" />
    <ns0:basedOn ns0:val="Normal" />
    <ns0:link ns0:val="BodyTextChar" />
    <ns0:pPr>
      <ns0:spacing ns0:after="120" ns0:before="0" />
    </ns0:pPr>
    <ns0:rPr>
      <ns0:i />
    </ns0:rPr>
  </ns0:style>
  <ns0:style ns0:customStyle="1" ns0:styleId="TableCaption" ns0:type="paragraph">
    <ns0:name ns0:val="Table Caption" />
    <ns0:basedOn ns0:val="Caption" />
    <ns0:pPr>
      <ns0:keepNext />
    </ns0:pPr>
  </ns0:style>
  <ns0:style ns0:customStyle="1" ns0:styleId="ImageCaption" ns0:type="paragraph">
    <ns0:name ns0:val="Image Caption" />
    <ns0:basedOn ns0:val="Caption" />
  </ns0:style>
  <ns0:style ns0:customStyle="1" ns0:styleId="Figure" ns0:type="paragraph">
    <ns0:name ns0:val="Figure" />
    <ns0:basedOn ns0:val="Normal" />
  </ns0:style>
  <ns0:style ns0:customStyle="1" ns0:styleId="CaptionedFigure" ns0:type="paragraph">
    <ns0:name ns0:val="Captioned Figure" />
    <ns0:basedOn ns0:val="Figure" />
    <ns0:pPr>
      <ns0:keepNext />
    </ns0:pPr>
  </ns0:style>
  <ns0:style ns0:customStyle="1" ns0:styleId="BodyTextChar" ns0:type="character">
    <ns0:name ns0:val="Body Text Char" />
    <ns0:basedOn ns0:val="DefaultParagraphFont" />
    <ns0:link ns0:val="BodyText" />
  </ns0:style>
  <ns0:style ns0:customStyle="1" ns0:styleId="VerbatimChar" ns0:type="character">
    <ns0:name ns0:val="Verbatim Char" />
    <ns0:basedOn ns0:val="BodyTextChar" />
    <ns0:rPr>
      <ns0:rFonts ns0:ascii="Consolas" ns0:hAnsi="Consolas" />
      <ns0:sz ns0:val="22" />
    </ns0:rPr>
  </ns0:style>
  <ns0:style ns0:customStyle="1" ns0:styleId="SectionNumber" ns0:type="character">
    <ns0:name ns0:val="Section Number" />
    <ns0:basedOn ns0:val="BodyTextChar" />
  </ns0:style>
  <ns0:style ns0:styleId="FootnoteReference" ns0:type="character">
    <ns0:name ns0:val="Footnote Reference" />
    <ns0:basedOn ns0:val="BodyTextChar" />
    <ns0:rPr>
      <ns0:vertAlign ns0:val="superscript" />
    </ns0:rPr>
  </ns0:style>
  <ns0:style ns0:styleId="Hyperlink" ns0:type="character">
    <ns0:name ns0:val="Hyperlink" />
    <ns0:basedOn ns0:val="BodyTextChar" />
    <ns0:rPr>
      <ns0:color ns0:themeColor="accent1" ns0:val="4F81BD" />
    </ns0:rPr>
  </ns0:style>
  <ns0:style ns0:styleId="TOCHeading" ns0:type="paragraph">
    <ns0:name ns0:val="TOC Heading" />
    <ns0:basedOn ns0:val="Heading1" />
    <ns0:next ns0:val="BodyText" />
    <ns0:uiPriority ns0:val="39" />
    <ns0:unhideWhenUsed />
    <ns0:qFormat />
    <ns0:pPr>
      <ns0:spacing ns0:before="240" ns0:line="259" ns0:lineRule="auto" />
      <ns0:outlineLvl ns0:val="9" />
    </ns0:pPr>
    <ns0:rPr>
      <ns0:rFonts ns0:asciiTheme="majorHAnsi" ns0:cstheme="majorBidi" ns0:eastAsiaTheme="majorEastAsia" ns0:hAnsiTheme="majorHAnsi" />
      <ns0:b ns0:val="0" />
      <ns0:bCs ns0:val="0" />
      <ns0:color ns0:themeColor="accent1" ns0:themeShade="BF" ns0:val="365F91" />
    </ns0:rPr>
  </ns0:style>
<w:style w:type="paragraph" w:customStyle="1" w:styleId="SourceCode"><w:name w:val="Source Code" /><w:basedOn w:val="Normal" /><w:link w:val="VerbatimChar" /><w:pPr><w:wordWrap w:val="off" /></w:pPr></w:style><w:style w:type="character" w:customStyle="1" w:styleId="KeywordTok"><w:name w:val="KeywordTok" /><w:basedOn w:val="VerbatimChar" /><w:rPr><w:color w:val="007020" /><w:b /></w:rPr></w:style><w:style w:type="character" w:customStyle="1" w:styleId="DataTypeTok"><w:name w:val="DataTypeTok" /><w:basedOn w:val="VerbatimChar" /><w:rPr><w:color w:val="902000" /></w:rPr></w:style><w:style w:type="character" w:customStyle="1" w:styleId="DecValTok"><w:name w:val="DecValTok" /><w:basedOn w:val="VerbatimChar" /><w:rPr><w:color w:val="40a070" /></w:rPr></w:style><w:style w:type="character" w:customStyle="1" w:styleId="BaseNTok"><w:name w:val="BaseNTok" /><w:basedOn w:val="VerbatimChar" /><w:rPr><w:color w:val="40a070" /></w:rPr></w:style><w:style w:type="character" w:customStyle="1" w:styleId="FloatTok"><w:name w:val="FloatTok" /><w:basedOn w:val="VerbatimChar" /><w:rPr><w:color w:val="40a070" /></w:rPr></w:style><w:style w:type="character" w:customStyle="1" w:styleId="ConstantTok"><w:name w:val="ConstantTok" /><w:basedOn w:val="VerbatimChar" /><w:rPr><w:color w:val="880000" /></w:rPr></w:style><w:style w:type="character" w:customStyle="1" w:styleId="CharTok"><w:name w:val="CharTok" /><w:basedOn w:val="VerbatimChar" /><w:rPr><w:color w:val="4070a0" /></w:rPr></w:style><w:style w:type="character" w:customStyle="1" w:styleId="SpecialCharTok"><w:name w:val="SpecialCharTok" /><w:basedOn w:val="VerbatimChar" /><w:rPr><w:color w:val="4070a0" /></w:rPr></w:style><w:style w:type="character" w:customStyle="1" w:styleId="StringTok"><w:name w:val="StringTok" /><w:basedOn w:val="VerbatimChar" /><w:rPr><w:color w:val="4070a0" /></w:rPr></w:style><w:style w:type="character" w:customStyle="1" w:styleId="VerbatimStringTok"><w:name w:val="VerbatimStringTok" /><w:basedOn w:val="VerbatimChar" /><w:rPr><w:color w:val="4070a0" /></w:rPr></w:style><w:style w:type="character" w:customStyle="1" w:styleId="SpecialStringTok"><w:name w:val="SpecialStringTok" /><w:basedOn w:val="VerbatimChar" /><w:rPr><w:color w:val="bb6688" /></w:rPr></w:style><w:style w:type="character" w:customStyle="1" w:styleId="ImportTok"><w:name w:val="ImportTok" /><w:basedOn w:val="VerbatimChar" /><w:rPr><w:color w:val="008000" /><w:b /></w:rPr></w:style><w:style w:type="character" w:customStyle="1" w:styleId="CommentTok"><w:name w:val="CommentTok" /><w:basedOn w:val="VerbatimChar" /><w:rPr><w:color w:val="60a0b0" /><w:i /></w:rPr></w:style><w:style w:type="character" w:customStyle="1" w:styleId="DocumentationTok"><w:name w:val="DocumentationTok" /><w:basedOn w:val="VerbatimChar" /><w:rPr><w:color w:val="ba2121" /><w:i /></w:rPr></w:style><w:style w:type="character" w:customStyle="1" w:styleId="AnnotationTok"><w:name w:val="AnnotationTok" /><w:basedOn w:val="VerbatimChar" /><w:rPr><w:color w:val="60a0b0" /><w:b /><w:i /></w:rPr></w:style><w:style w:type="character" w:customStyle="1" w:styleId="CommentVarTok"><w:name w:val="CommentVarTok" /><w:basedOn w:val="VerbatimChar" /><w:rPr><w:color w:val="60a0b0" /><w:b /><w:i /></w:rPr></w:style><w:style w:type="character" w:customStyle="1" w:styleId="OtherTok"><w:name w:val="OtherTok" /><w:basedOn w:val="VerbatimChar" /><w:rPr><w:color w:val="007020" /></w:rPr></w:style><w:style w:type="character" w:customStyle="1" w:styleId="FunctionTok"><w:name w:val="FunctionTok" /><w:basedOn w:val="VerbatimChar" /><w:rPr><w:color w:val="06287e" /></w:rPr></w:style><w:style w:type="character" w:customStyle="1" w:styleId="VariableTok"><w:name w:val="VariableTok" /><w:basedOn w:val="VerbatimChar" /><w:rPr><w:color w:val="19177c" /></w:rPr></w:style><w:style w:type="character" w:customStyle="1" w:styleId="ControlFlowTok"><w:name w:val="ControlFlowTok" /><w:basedOn w:val="VerbatimChar" /><w:rPr><w:color w:val="007020" /><w:b /></w:rPr></w:style><w:style w:type="character" w:customStyle="1" w:styleId="OperatorTok"><w:name w:val="OperatorTok" /><w:basedOn w:val="VerbatimChar" /><w:rPr><w:color w:val="666666" /></w:rPr></w:style><w:style w:type="character" w:customStyle="1" w:styleId="BuiltInTok"><w:name w:val="BuiltInTok" /><w:basedOn w:val="VerbatimChar" /><w:rPr><w:color w:val="008000" /></w:rPr></w:style><w:style w:type="character" w:customStyle="1" w:styleId="ExtensionTok"><w:name w:val="ExtensionTok" /><w:basedOn w:val="VerbatimChar" /><w:rPr /></w:style><w:style w:type="character" w:customStyle="1" w:styleId="PreprocessorTok"><w:name w:val="PreprocessorTok" /><w:basedOn w:val="VerbatimChar" /><w:rPr><w:color w:val="bc7a00" /></w:rPr></w:style><w:style w:type="character" w:customStyle="1" w:styleId="AttributeTok"><w:name w:val="AttributeTok" /><w:basedOn w:val="VerbatimChar" /><w:rPr><w:color w:val="7d9029" /></w:rPr></w:style><w:style w:type="character" w:customStyle="1" w:styleId="RegionMarkerTok"><w:name w:val="RegionMarkerTok" /><w:basedOn w:val="VerbatimChar" /><w:rPr /></w:style><w:style w:type="character" w:customStyle="1" w:styleId="InformationTok"><w:name w:val="InformationTok" /><w:basedOn w:val="VerbatimChar" /><w:rPr><w:color w:val="60a0b0" /><w:b /><w:i /></w:rPr></w:style><w:style w:type="character" w:customStyle="1" w:styleId="WarningTok"><w:name w:val="WarningTok" /><w:basedOn w:val="VerbatimChar" /><w:rPr><w:color w:val="60a0b0" /><w:b /><w:i /></w:rPr></w:style><w:style w:type="character" w:customStyle="1" w:styleId="AlertTok"><w:name w:val="AlertTok" /><w:basedOn w:val="VerbatimChar" /><w:rPr><w:color w:val="ff0000" /><w:b /></w:rPr></w:style><w:style w:type="character" w:customStyle="1" w:styleId="ErrorTok"><w:name w:val="ErrorTok" /><w:basedOn w:val="VerbatimChar" /><w:rPr><w:color w:val="ff0000" /><w:b /></w:rPr></w:style><w:style w:type="character" w:customStyle="1" w:styleId="NormalTok"><w:name w:val="NormalTok" /><w:basedOn w:val="VerbatimChar" /><w:rPr /></w:style></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2026-09-08T10:57:05Z</dcterms:created>
  <dcterms:modified xsi:type="dcterms:W3CDTF">2026-09-08T10:57:05Z</dcterms:modified>
</cp:coreProperties>
</file>

<file path=docProps/custom.xml><?xml version="1.0" encoding="utf-8"?>
<Properties xmlns="http://schemas.openxmlformats.org/officeDocument/2006/custom-properties" xmlns:vt="http://schemas.openxmlformats.org/officeDocument/2006/docPropsVTypes"/>
</file>