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Avinguda Gaudí 320</w:t>
      </w:r>
    </w:p>
    <w:p>
      <w:pPr>
        <w:pStyle w:val="Normal"/>
        <w:widowControl w:val="on"/>
        <w:tabs>
          <w:tab w:val="num" w:pos="0"/>
        </w:tabs>
        <w:suppressAutoHyphens w:val="true"/>
        <w:ind w:left="0" w:right="0" w:hanging="0"/>
        <w:jc w:val="right"/>
        <w:outlineLvl w:val="9"/>
        <w:rPr>
          <w:rStyle w:val="Normal"/>
        </w:rPr>
      </w:pPr>
      <w:r>
        <w:rPr>
          <w:rStyle w:val="Normal"/>
        </w:rPr>
        <w:t xml:space="preserve">08026 Sant Celoni</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b w:val="off"/>
        </w:rPr>
        <w:t xml:space="preserve">Índex de co</w:t>
      </w:r>
      <w:r>
        <w:rPr>
          <w:b w:val="off"/>
        </w:rPr>
        <w:t xml:space="preserve">n</w:t>
      </w:r>
      <w:r>
        <w:rPr>
          <w:b w:val="off"/>
        </w:rPr>
        <w:t xml:space="preserve">tinguts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Avinguda Gaudí 320</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08026</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Sant Celoni</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20394820394023948029348</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450pt;height:377pt;z-index:2;mso-position-horizontal-relative:char;mso-position-horizontal-relative:line;mso-wrap-distance-left:0pt;mso-wrap-distance-top:0pt;mso-wrap-distance-right:0pt;mso-wrap-distance-bottom:0pt;v-text-anchor:top;" stroked="f">
            <v:imagedata r:id="M0000U22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450pt;height:434pt;z-index:3;mso-position-horizontal-relative:char;mso-position-horizontal-relative:line;mso-wrap-distance-left:0pt;mso-wrap-distance-top:0pt;mso-wrap-distance-right:0pt;mso-wrap-distance-bottom:0pt;v-text-anchor:top;" stroked="f">
            <v:imagedata r:id="M0000U26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PROMOTOR</w:t>
      </w:r>
    </w:p>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Primer promotor d'edifici existent</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12341234</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asñlkfdj</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alñsfjdk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aslfdj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asldfjasl</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lsdkf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23rslfdkjdsf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PROJECTISTA</w:t>
      </w:r>
    </w:p>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PRojectisTA gEnial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añsldfk</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234o292843</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lskdjf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sldkfj</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COL·LABORADOR</w:t>
      </w:r>
      <w:r>
        <w:rPr>
          <w:b w:val="on"/>
        </w:rPr>
        <w:t xml:space="preserve"> AL PROJECTISTA</w:t>
      </w:r>
    </w:p>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Albert Muñoz Rossell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añsldfjk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ñalskjfd</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Àmbit de col·laboració: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añlsdjf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ind w:left="0" w:right="0" w:hanging="0"/>
              <w:outlineLvl w:val="9"/>
              <w:rPr>
                <w:rStyle w:val="normal_20_taula"/>
              </w:rPr>
            </w:pPr>
            <w:r>
              <w:rPr>
                <w:rStyle w:val="normal_20_taula"/>
              </w:rPr>
              <w:t xml:space="preserve">ñlskjdf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CONSTRUCTOR</w:t>
      </w:r>
    </w:p>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Construccions Martínez, S.L.</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209348</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slkdfja</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ñlaksdjf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0293840</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09283</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sdfasdf</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ñlksdlksdls</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D’OBRA</w:t>
      </w:r>
    </w:p>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el Director</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alsdkfj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ñalskfjd</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añsldkfj</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ñlkfds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s98fs9f</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98234923</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D’EXECUCIÓ D’OBRA</w:t>
      </w:r>
    </w:p>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Executor Jordi</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Arquitecte Tècnic</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ASDFLK</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w9e8029384092</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ñalsdfkj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29384</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2934</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D’EXECUCIÓ D’OBRA</w:t>
      </w:r>
    </w:p>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2</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añsdlfkj</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alskfj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23oi</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COORDINADOR DE SEGURETAT</w:t>
      </w:r>
    </w:p>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Coordina que coordinadràs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añslkfj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ñlaksjfdñ</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lkasdjfñ</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lkdfljÑALFKJ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LKSDÑFLKJ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ÑLKº</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LABORATORI DE CONTROL</w:t>
      </w:r>
    </w:p>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LABO</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02938042934</w:t>
            </w: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20938402934</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lasjdfñlk</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ñlsdkjflskdf</w:t>
            </w: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ENTITAT DE CONTROL</w:t>
      </w:r>
    </w:p>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ENTITA CONTROLADADARADARASRASLDRPUTA</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AÑLSKDJF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ÑLKJAS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añlskdjf</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lñaskdfjñ</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lañslfdkjl</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ñsldfkj</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sdfsdf</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SUBMINISTRADOR DE PRODUCTES</w:t>
      </w:r>
    </w:p>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Palets Gonzáliez</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sñldfkj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ñalskdj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ñlskdjf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ñsldkfjañs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asñldkfj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ñalsdkfj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20934802948</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9023840928</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10294802934</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SUBCONTRACTISTA PRINCIPAL</w:t>
      </w:r>
    </w:p>
    <w:p>
      <w:pPr>
        <w:pStyle w:val="Normal"/>
        <w:widowControl w:val="on"/>
        <w:tabs>
          <w:tab w:val="num" w:pos="0"/>
        </w:tabs>
        <w:suppressAutoHyphens w:val="true"/>
        <w:spacing w:after="0" w:before="0"/>
        <w:ind w:left="0" w:right="0" w:hanging="0"/>
        <w:outlineLvl w:val="9"/>
        <w:rPr>
          <w:rStyle w:val="Normal"/>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Jordi Martí</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añlsfdkj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ñasldfj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alñskdjf</w:t>
            </w: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añlskdfj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alskdfj</w:t>
            </w: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aldsfj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aslfdj</w:t>
            </w: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asldfjk</w:t>
            </w: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adsñlfjk</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evitar qualsevol tipus de canvi en el sistema de càrrega de les diferents parts de l’edifici. Si desitgeu introduir modificacions o qualsevol canvi d’ús dins l’edifici consulteu al vostre Tècnic de Capçalera.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de pluges fortes s’observaran les possibles humitats i el bon funcionament de les perforacions de drenatge i desguàs.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l'estructura de l'edifici.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façanes separen l’habitatge de l’ambient exterior, per aquest motiu, han de complir importants exigències d’aïllament respecte del fred o la calor, el soroll, l’entrada d’aire i d’humitat, la resistència, la seguretat al robatori, etc.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acabats de la façana acostumen a ser uns dels punts més fràgils de l’edifici ja que estan en contacte directe amb la intempèrie. D’altra banda, el que inicialment potser només és brutícia o una degradació de la imatge estètica de la façana, es pot </w:t>
      </w:r>
      <w:r>
        <w:rPr>
          <w:rStyle w:val="Normal"/>
        </w:rPr>
        <w:t xml:space="preserve">convertir en un perill, ja que qualsevol despreniment cauria directament sobre el carrer.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aplacats de pedra natural s’embruten amb molta facilitat depenent de la porositat de la pedra. Consulteu al vostre Tècnic de Capçalera la possibilitat d’aplicar un producte protector incolor.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parets mitgeres són aquelles que separen l’edifici dels edificis veïns. Quan no hi hagi edificis veïns o siguin més baixos, les mitgeres quedaran a la vista i hauran d’estar protegides com si fossin façanes.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Als balcons i les galeries no s’han de col·locar càrregues pesades, com ara jardineres o materials emmagatzemats. També s’hauria d’evitar que l’aigua que s’utilitza per regar regalimi per la façana.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recolzaran, sobre les finestres i balcons, elements de subjecció de bastides, politges per aixecar càrregues o mobles, mecanismes de neteja exteriors o d’altres objectes que els puguin malmetre.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s’han de donar cops forts a les finestres. D’altra banda, les finestres poden aconseguir una alta estanquitat a l’aire i al soroll amb la col·locació de ribets especialment concebuts per aquesta finalitat.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vidres s’hauran de netejar amb aigua sabonosa, preferentment tèbia, i posteriorment s’assecaran. No s’han de fregar amb draps secs, ja que el vidre es ratllaria.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 persianes enrotllables de PVC, s’ha d’evitar forçar les lamel·les quan perdin l’horitzontalitat o es quedin encallades a les guies. S’ha de netejar amb detergents no alcalins i aigua calenta. Cal utilitzar un drap suau o una esponja.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Una manca d’aïllament tèrmic pot ser la causa de l’existència d’humitats de condensació. El Tècnic de Capçalera haurà d’analitzar els símptomes adequadament per tal de determinar possibles defectes a l’aïllament tèrmic.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l’aïllament tèrmic es mulla, perd la seva efectivitat. Per tant, s’ha d’evitar qualsevol tipus d’humitat que el pugui afectar.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a les reposicions dels elements que tinguin una durada més curta que la pròpia façana (junts, proteccions, etc.) o dels tancaments de vidre, s'utilitzaran productes </w:t>
      </w:r>
      <w:r>
        <w:rPr>
          <w:rStyle w:val="Normal"/>
        </w:rPr>
        <w:t xml:space="preserve">idèntics als existents o de característiques equivalents que no alterin les seves prestacions inicials.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despreniments d'elements de la façana, són un risc, tant pels usuaris com pels vianants.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Operació afegida a propòsit.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Arquitecte Tècnic</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Coberta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planes: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planes s’han de mantenir netes i sense herbes, especialment les buneres, les canals i els aiguafons. És preferible no col·locar jardineres a prop dels desguassos o bé que estiguin elevades del sòl per permetre el pas de l’aigua.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Aquest tipus de coberta només ha d’utilitzar-se per a l’ús a què hagi estat projectada. En aquest sentit, s’evitarà l’emmagatzematge de materials, mobles, etc., i l’abocament de productes químics agressius com ara olis, dissolvents o lleixiu.</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s’hi instal·len noves antenes, equips d’aire condicionat o, en general, aparells que requereixin ser fixats, la subjecció no ha d’afectar la impermeabilització.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que s’observin humitats als pisos sota coberta, caldrà controlar-les, ja que poden tenir un efecte negatiu sobre els elements estructurals.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Lluernes i claraboies: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claraboies i lluernes s’han de netejar amb assiduïtat, ja que en cas d’embrutar-se redueixen considerablement la quantitat de llum que deixen passar.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la seva situació dins l’edifici, han d’extremar-se les mesures de seguretat en el moment de netejar-les per tal d’evitar accidents.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 l’enrajolat o elements de protecció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no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op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Recol·locació de la grava en cobertes no transitables.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r>
        <w:rPr>
          <w:rFonts w:ascii="Calibri" w:hAnsi="Calibri"/>
          <w:sz w:val="24"/>
          <w:szCs w:val="24"/>
        </w:rPr>
        <w:t xml:space="preserve">i ,</w:t>
      </w:r>
      <w:r>
        <w:rPr>
          <w:rFonts w:ascii="Calibri" w:hAnsi="Calibri"/>
          <w:sz w:val="24"/>
          <w:szCs w:val="24"/>
        </w:rPr>
        <w:t xml:space="preserve">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w:t>
      </w:r>
      <w:r>
        <w:rPr>
          <w:rFonts w:ascii="Calibri" w:hAnsi="Calibri"/>
          <w:sz w:val="24"/>
          <w:szCs w:val="24"/>
        </w:rPr>
        <w:t xml:space="preserve">pas</w:t>
      </w:r>
      <w:r>
        <w:rPr>
          <w:rFonts w:ascii="Calibri" w:hAnsi="Calibri"/>
          <w:sz w:val="24"/>
          <w:szCs w:val="24"/>
        </w:rPr>
        <w:t xml:space="preserve"> general de l’edifici i comunicar l’avaria a la companyia subministradora.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recollir l’aigua el més aviat possible, evitant embassaments que podrien afectar </w:t>
      </w:r>
      <w:r>
        <w:rPr>
          <w:rFonts w:ascii="Calibri" w:hAnsi="Calibri"/>
          <w:sz w:val="24"/>
          <w:szCs w:val="24"/>
        </w:rPr>
        <w:t xml:space="preserve">a</w:t>
      </w:r>
      <w:r>
        <w:rPr>
          <w:rFonts w:ascii="Calibri" w:hAnsi="Calibri"/>
          <w:sz w:val="24"/>
          <w:szCs w:val="24"/>
        </w:rPr>
        <w:t xml:space="preserve"> elements de l’edifici.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Llicències preceptives</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 de final d’obra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Acta de recepció definitiva de l’obra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pública de declaració d’obra nova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 garantia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garantia d’instal·lacions de parts comunes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Pòlisses d’assegurances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de divisió en règim de propietat horitzontal</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Estatuts de la comunitat de propietaris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Cèdules de declaració de règims jurídics especials o qualificacions d’habitatges protegits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Càrregues reals existents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dels ajuts i beneficis atorgats a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justificació de la realització d’operacions de reparació, manteniment i rehabilitació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Certificats de final d’obra de les instal·lacions comunies de baixa tensió, gasos combustibles, productes petrolífers o instal·lacions tèrmiques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Declaracions CE que reconeixen la conformitat dels ascensors instal·lats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after="200" w:before="0"/>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rPr>
  </w:style>
  <w:style w:styleId="M0091600" w:type="character" w:customStyle="1">
    <w:name w:val="M0091600"/>
    <w:qFormat/>
    <w:pPr>
      <w:suppressAutoHyphens w:val="true"/>
      <w:outlineLvl w:val="9"/>
    </w:pPr>
    <w:rPr>
      <w:rFonts w:ascii="Wingdings" w:hAnsi="Wingdings" w:cs="Courier New"/>
    </w:rPr>
  </w:style>
  <w:style w:styleId="M00A1600" w:type="character" w:customStyle="1">
    <w:name w:val="M00A1600"/>
    <w:qFormat/>
    <w:pPr>
      <w:suppressAutoHyphens w:val="true"/>
      <w:outlineLvl w:val="9"/>
    </w:pPr>
    <w:rPr>
      <w:rFonts w:ascii="Wingdings" w:hAnsi="Wingdings"/>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0U220310" Type="http://schemas.openxmlformats.org/officeDocument/2006/relationships/image" Target="http://s3-eu-west-1.amazonaws.com/llibreedifici/identificacions/foto_facanas/000/000/001/original/4fachada_Ventilada.jpg?1443783556" TargetMode="External" /><Relationship Id="M0000U260310" Type="http://schemas.openxmlformats.org/officeDocument/2006/relationships/image" Target="http://s3-eu-west-1.amazonaws.com/llibreedifici/identificacions/planol_emplacaments/000/000/001/original/5-emplazamiento.jpg?1443783557"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1576148"/>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1525345"/>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43</Pages>
  <Words>2847</Words>
  <Application>OpenXML/ODF Translator Command Line Tool 3.0</Application>
  <DocSecurity>0</DocSecurity>
  <Paragraphs>405</Paragraphs>
  <TotalTime>104</TotalTime>
  <ScaleCrop>false</ScaleCrop>
  <LinksUpToDate>false</LinksUpToDate>
  <CharactersWithSpaces>18366</CharactersWithSpaces>
  <Characters>15945</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2015-10-06T09:35:40Z</dcterms:modified>
  <cp:revision>29</cp:revision>
  <dc:subject xmlns:dc="http://purl.org/dc/elements/1.1/"/>
  <dc:title xmlns:dc="http://purl.org/dc/elements/1.1/"/>
</cp:coreProperties>
</file>