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Carrer Castillejos 320</w:t>
      </w:r>
    </w:p>
    <w:p>
      <w:pPr>
        <w:pStyle w:val="Normal"/>
        <w:widowControl w:val="on"/>
        <w:tabs>
          <w:tab w:val="num" w:pos="0"/>
        </w:tabs>
        <w:suppressAutoHyphens w:val="true"/>
        <w:ind w:left="0" w:right="0" w:hanging="0"/>
        <w:jc w:val="right"/>
        <w:outlineLvl w:val="9"/>
        <w:rPr>
          <w:rStyle w:val="Normal"/>
        </w:rPr>
      </w:pPr>
      <w:r>
        <w:rPr>
          <w:rStyle w:val="Normal"/>
        </w:rPr>
        <w:t xml:space="preserve">08026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rFonts w:ascii="Arial" w:hAnsi="Arial"/>
        </w:rPr>
        <w:t xml:space="preserve">El llibre de l’edifici dels edificis d’habitatges existents està format pel conjunt de documents que acrediten el seu estat de conservació, i conté les instruccions o recomanacions d’ús i de manteniment que permetran allargar-ne la vida útil i evitar-ne la degradació.</w:t>
      </w:r>
      <w:r>
        <w:rPr>
          <w:rFonts w:ascii="Arial" w:hAnsi="Arial"/>
        </w:rPr>
        <w:t xml:space="preserve"> </w:t>
      </w:r>
      <w:r>
        <w:rPr>
          <w:rFonts w:ascii="Arial" w:hAnsi="Arial"/>
        </w:rPr>
        <w:t xml:space="preserve">Consta</w:t>
      </w:r>
      <w:r>
        <w:rPr>
          <w:rFonts w:ascii="Arial" w:hAnsi="Arial"/>
        </w:rPr>
        <w:t xml:space="preserve">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 </w:t>
      </w:r>
      <w:r>
        <w:rPr>
          <w:rFonts w:ascii="Arial" w:hAnsi="Arial"/>
        </w:rPr>
        <w:t xml:space="preserve">Les instruccions d’ús i manteniment</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registre d’incidències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L’obligatorietat de la formalització del llibre de l’edifici correspon a la persona propietària o a la comunitat de propietaris, en el cas d’edificis amb règim de propietat horitzontal, i es constitueix a partir de la data de recepció de l’informe de la inspecció tècnica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inscripcions d’incidències i d’operacions de manteniment han de fer-se dins del termini d’un mes després d’haver-se produït o executat.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llibre de l’e</w:t>
      </w:r>
      <w:r>
        <w:rPr>
          <w:rFonts w:ascii="Arial" w:hAnsi="Arial"/>
        </w:rPr>
        <w:t xml:space="preserv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Dades d’identificació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1374"/>
        <w:gridCol w:w="1505"/>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Carrer Castillejos 320</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08026</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32293840293874</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4253"/>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1940</w:t>
            </w:r>
          </w:p>
        </w:tc>
        <w:tc>
          <w:tcPr>
            <w:tcW w:type="dxa" w:w="4385"/>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Font de l’any de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Cadastre</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450pt;height:264pt;z-index:2;mso-position-horizontal-relative:char;mso-position-horizontal-relative:line;mso-wrap-distance-left:0pt;mso-wrap-distance-top:0pt;mso-wrap-distance-right:0pt;mso-wrap-distance-bottom:0pt;v-text-anchor:top;" stroked="f">
            <v:imagedata r:id="M0000U25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450pt;height:294pt;z-index:3;mso-position-horizontal-relative:char;mso-position-horizontal-relative:line;mso-wrap-distance-left:0pt;mso-wrap-distance-top:0pt;mso-wrap-distance-right:0pt;mso-wrap-distance-bottom:0pt;v-text-anchor:top;" stroked="f">
            <v:imagedata r:id="M0000U29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PROJECTISTA</w:t>
      </w:r>
    </w:p>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Oriol Bohigas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Arquitecte</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293294234</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Llicè</w:t>
      </w:r>
      <w:r>
        <w:rPr>
          <w:b w:val="on"/>
        </w:rPr>
        <w:t xml:space="preserve">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Declaració d’obra nova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Règim de propietat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Règims especials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Càrregues reals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Entitats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del promotor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del constructor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Garanties de les instal·lacions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Certificació energètica</w:t>
      </w:r>
    </w:p>
    <w:tbl>
      <w:tblPr>
        <w:tblStyle w:val="Table2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Número de registre:</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203984203948</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Data de finalització de la vigència:</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20-10-2025</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Consum d’energia primària (kWh/a):</w:t>
            </w:r>
          </w:p>
          <w:p>
            <w:pPr>
              <w:pStyle w:val="normal_20_taula"/>
              <w:widowControl w:val="on"/>
              <w:tabs>
                <w:tab w:val="num" w:pos="0"/>
              </w:tabs>
              <w:suppressAutoHyphens w:val="true"/>
              <w:ind w:left="0" w:right="0" w:hanging="0"/>
              <w:outlineLvl w:val="9"/>
              <w:rPr>
                <w:rStyle w:val="normal_20_taula"/>
              </w:rPr>
            </w:pPr>
            <w:r>
              <w:rPr>
                <w:rStyle w:val="normal_20_taula"/>
              </w:rPr>
              <w:t xml:space="preserve">283.0</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Emissions de CO</w:t>
            </w:r>
            <w:r>
              <w:rPr>
                <w:vertAlign w:val="subscript"/>
              </w:rPr>
              <w:t xml:space="preserve">2</w:t>
            </w:r>
            <w:r>
              <w:rPr>
                <w:rStyle w:val="titol_20_taula"/>
                <w:b w:val="on"/>
              </w:rPr>
              <w:t xml:space="preserve"> (kg/m</w:t>
            </w:r>
            <w:r>
              <w:rPr>
                <w:vertAlign w:val="superscript"/>
              </w:rPr>
              <w:t xml:space="preserve">2</w:t>
            </w:r>
            <w:r>
              <w:rPr>
                <w:rStyle w:val="titol_20_taula"/>
                <w:b w:val="on"/>
              </w:rPr>
              <w:t xml:space="preserve">a):</w:t>
            </w:r>
          </w:p>
          <w:p>
            <w:pPr>
              <w:pStyle w:val="normal_20_taula"/>
              <w:widowControl w:val="on"/>
              <w:tabs>
                <w:tab w:val="num" w:pos="0"/>
              </w:tabs>
              <w:suppressAutoHyphens w:val="true"/>
              <w:ind w:left="0" w:right="0" w:hanging="0"/>
              <w:outlineLvl w:val="9"/>
              <w:rPr>
                <w:rStyle w:val="normal_20_taula"/>
              </w:rPr>
            </w:pPr>
            <w:r>
              <w:rPr>
                <w:rStyle w:val="normal_20_taula"/>
              </w:rPr>
              <w:t xml:space="preserve">92.0</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Qualificació energètica:</w:t>
            </w:r>
          </w:p>
          <w:p>
            <w:pPr>
              <w:pStyle w:val="normal_20_taula"/>
              <w:widowControl w:val="on"/>
              <w:tabs>
                <w:tab w:val="num" w:pos="0"/>
              </w:tabs>
              <w:suppressAutoHyphens w:val="true"/>
              <w:ind w:left="0" w:right="0" w:hanging="0"/>
              <w:outlineLvl w:val="9"/>
              <w:rPr>
                <w:rStyle w:val="normal_20_taula"/>
              </w:rPr>
            </w:pPr>
            <w:r>
              <w:rPr>
                <w:rStyle w:val="normal_20_taula"/>
              </w:rPr>
              <w:t xml:space="preserve">B</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p>
        </w:tc>
      </w:tr>
    </w:tbl>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Mur de formigó armat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Disposa de drenatge perimetral</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Sabates aïllades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Material: formigó armat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evitar qualsevol tipus de canvi en el sistema de càrrega de les diferents parts de l’edifici. Si desitgeu introduir modificacions o qualsevol canvi d’ús dins l’edifici consulteu al vostre Tècnic de Capçalera.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de pluges fortes s’observaran les possibles humitats i el bon funcionament de les perforacions de drenatge i desguàs.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general dels murs de contenció i el bon funcionament dels conductes de drenatge i de desguàs, així com l’absència d’humitats.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Pilars d'acer</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Jàsseres d'acer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w:t>
      </w:r>
      <w:r>
        <w:rPr>
          <w:rStyle w:val="Normal"/>
        </w:rPr>
        <w:t xml:space="preserve">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vertical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protecció dels elements metàl·lics accessibles de l’estructura de pilars.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vertical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atornillades,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observant l’estat de conservació de la protecció dels elements metàl·lics i si apareixen fletxes excessives o altres tipus de lesions com l’aparició de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dels elements metàl·lics accessibles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horitzontal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cargolades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Parets de bloc de morter</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Acabat d'estuc de calç</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Persianes de llibret d'acer</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Vidre triple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façanes separen l’habitatge de l’ambient exterior, per aquest motiu, han de complir importants exigències d’aïllament respecte del fred o la calor, el soroll, l’entrada d’aire i d’humitat, la resistència, la seguretat al robatori, etc.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aplacats de pedra natural s’embruten amb molta facilitat depenent de la porositat de la pedra. Consulteu al vostre Tècnic de Capçalera la possibilitat d’aplicar un producte protector incolor.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parets mitgeres són aquelles que separen l’edifici dels edificis veïns. Quan no hi hagi edificis veïns o siguin més baixos, les mitgeres quedaran a la vista i hauran d’estar protegides com si fossin façanes.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Als balcons i les galeries no s’han de col·locar càrregues pesades, com ara jardineres o materials emmagatzemats. També s’hauria d’evitar que l’aigua que s’utilitza per regar regalimi per la façana.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recolzaran, sobre les finestres i balcons, elements de subjecció de bastides, politges per aixecar càrregues o mobles, mecanismes de neteja exteriors o d’altres objectes que els puguin malmetre.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s’han de donar cops forts a les finestres. D’altra banda, les finestres poden aconseguir una alta estanquitat a l’aire i al soroll amb la col·locació de ribets especialment concebuts per aquesta finalitat.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vidres s’hauran de netejar amb aigua sabonosa, preferentment tèbia, i posteriorment s’assecaran. No s’han de fregar amb draps secs, ja que el vidre es ratllaria.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 persianes enrotllables de PVC, s’ha d’evitar forçar les lamel·les quan perdin l’horitzontalitat o es quedin encallades a les guies. S’ha de netejar amb detergents no alcalins i aigua calenta. Cal utilitzar un drap suau o una esponja.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Una manca d’aïllament tèrmic pot ser la causa de l’existència d’humitats de condensació. El Tècnic de Capçalera haurà d’analitzar els símptomes adequadament per tal de determinar possibles defectes a l’aïllament tèrmic.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l’aïllament tèrmic es mulla, perd la seva efectivitat. Per tant, s’ha d’evitar qualsevol tipus d’humitat que el pugui afectar.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despreniments d'elements de la façana, són un risc, tant pels usuaris com pels vianants.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 revestiment: possible aparició de fissures, despreniments, humitats i taques.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possible existència d’esquerdes i fissures, així com desplomaments o altres deformacions, en la fulla principal.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l'estuc a la calç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 les instruccions d’ús i manteniment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L'arxiu de documents ha de contenir els següents documents:</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Informe d’inspecció tècnica obligatòria (IITE)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Document acreditatiu del lliurament a l’Administració de les dades bàsiques de la IITE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El comunicat a l’ens local del municipi al qual pertany l’edifici en cas de situació de risc per a les persones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Programa de rehabilitació que adopti les mesures correctores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Certificats de final d’obra de totes les obres que s’executin en l’edifici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Certificat d’aptitud</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 d’efici</w:t>
      </w:r>
      <w:r>
        <w:rPr>
          <w:rFonts w:ascii="Calibri" w:hAnsi="Calibri" w:cs="Calibri" w:eastAsia="Calibri"/>
          <w:sz w:val="24"/>
          <w:szCs w:val="24"/>
        </w:rPr>
        <w:t xml:space="preserve">è</w:t>
      </w:r>
      <w:r>
        <w:rPr>
          <w:rFonts w:ascii="Calibri" w:hAnsi="Calibri"/>
          <w:sz w:val="24"/>
          <w:szCs w:val="24"/>
        </w:rPr>
        <w:t xml:space="preserve">ncia energ</w:t>
      </w:r>
      <w:r>
        <w:rPr>
          <w:rFonts w:ascii="Calibri" w:hAnsi="Calibri" w:cs="Calibri" w:eastAsia="Calibri"/>
          <w:sz w:val="24"/>
          <w:szCs w:val="24"/>
        </w:rPr>
        <w:t xml:space="preserve">è</w:t>
      </w:r>
      <w:r>
        <w:rPr>
          <w:rFonts w:ascii="Calibri" w:hAnsi="Calibri"/>
          <w:sz w:val="24"/>
          <w:szCs w:val="24"/>
        </w:rPr>
        <w:t xml:space="preserve">tica de l’edifici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Documents que justifiquin la realització d’operacions de reparaci</w:t>
      </w:r>
      <w:r>
        <w:rPr>
          <w:rFonts w:ascii="Calibri" w:hAnsi="Calibri" w:cs="Calibri" w:eastAsia="Calibri"/>
          <w:sz w:val="24"/>
          <w:szCs w:val="24"/>
        </w:rPr>
        <w:t xml:space="preserve">ó</w:t>
      </w:r>
      <w:r>
        <w:rPr>
          <w:rFonts w:ascii="Calibri" w:hAnsi="Calibri"/>
          <w:sz w:val="24"/>
          <w:szCs w:val="24"/>
        </w:rPr>
        <w:t xml:space="preserve">, manteniment i rehabilitaci</w:t>
      </w:r>
      <w:r>
        <w:rPr>
          <w:rFonts w:ascii="Calibri" w:hAnsi="Calibri" w:cs="Calibri" w:eastAsia="Calibri"/>
          <w:sz w:val="24"/>
          <w:szCs w:val="24"/>
        </w:rPr>
        <w:t xml:space="preserve">ó</w:t>
      </w:r>
      <w:r>
        <w:rPr>
          <w:rFonts w:ascii="Calibri" w:hAnsi="Calibri"/>
          <w:sz w:val="24"/>
          <w:szCs w:val="24"/>
        </w:rPr>
        <w:t xml:space="preserve"> de car</w:t>
      </w:r>
      <w:r>
        <w:rPr>
          <w:rFonts w:ascii="Calibri" w:hAnsi="Calibri" w:cs="Calibri" w:eastAsia="Calibri"/>
          <w:sz w:val="24"/>
          <w:szCs w:val="24"/>
        </w:rPr>
        <w:t xml:space="preserve">à</w:t>
      </w:r>
      <w:r>
        <w:rPr>
          <w:rFonts w:ascii="Calibri" w:hAnsi="Calibri"/>
          <w:sz w:val="24"/>
          <w:szCs w:val="24"/>
        </w:rPr>
        <w:t xml:space="preserve">cter obligatori, aix</w:t>
      </w:r>
      <w:r>
        <w:rPr>
          <w:rFonts w:ascii="Calibri" w:hAnsi="Calibri" w:cs="Calibri" w:eastAsia="Calibri"/>
          <w:sz w:val="24"/>
          <w:szCs w:val="24"/>
        </w:rPr>
        <w:t xml:space="preserve">í</w:t>
      </w:r>
      <w:r>
        <w:rPr>
          <w:rFonts w:ascii="Calibri" w:hAnsi="Calibri"/>
          <w:sz w:val="24"/>
          <w:szCs w:val="24"/>
        </w:rPr>
        <w:t xml:space="preserve"> com la identificaci</w:t>
      </w:r>
      <w:r>
        <w:rPr>
          <w:rFonts w:ascii="Calibri" w:hAnsi="Calibri" w:cs="Calibri" w:eastAsia="Calibri"/>
          <w:sz w:val="24"/>
          <w:szCs w:val="24"/>
        </w:rPr>
        <w:t xml:space="preserve">ó</w:t>
      </w:r>
      <w:r>
        <w:rPr>
          <w:rFonts w:ascii="Calibri" w:hAnsi="Calibri"/>
          <w:sz w:val="24"/>
          <w:szCs w:val="24"/>
        </w:rPr>
        <w:t xml:space="preserve"> de les empreses o professionals que les han realitzades i les garanties que s’han donat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Pressupostos i contractes d’obres, manteniments i honoraris professionals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Certificats d’inscripci</w:t>
      </w:r>
      <w:r>
        <w:rPr>
          <w:rFonts w:ascii="Calibri" w:hAnsi="Calibri" w:cs="Calibri" w:eastAsia="Calibri"/>
          <w:sz w:val="24"/>
          <w:szCs w:val="24"/>
        </w:rPr>
        <w:t xml:space="preserve">ó</w:t>
      </w:r>
      <w:r>
        <w:rPr>
          <w:rFonts w:ascii="Calibri" w:hAnsi="Calibri"/>
          <w:sz w:val="24"/>
          <w:szCs w:val="24"/>
        </w:rPr>
        <w:t xml:space="preserve"> en el Registre d’instal·lacions t</w:t>
      </w:r>
      <w:r>
        <w:rPr>
          <w:rFonts w:ascii="Calibri" w:hAnsi="Calibri" w:cs="Calibri" w:eastAsia="Calibri"/>
          <w:sz w:val="24"/>
          <w:szCs w:val="24"/>
        </w:rPr>
        <w:t xml:space="preserve">è</w:t>
      </w:r>
      <w:r>
        <w:rPr>
          <w:rFonts w:ascii="Calibri" w:hAnsi="Calibri"/>
          <w:sz w:val="24"/>
          <w:szCs w:val="24"/>
        </w:rPr>
        <w:t xml:space="preserve">cniques de seguretat industrial de Catalunya de les instal·lacions comunes de l’edifici de baixa tensi</w:t>
      </w:r>
      <w:r>
        <w:rPr>
          <w:rFonts w:ascii="Calibri" w:hAnsi="Calibri" w:cs="Calibri" w:eastAsia="Calibri"/>
          <w:sz w:val="24"/>
          <w:szCs w:val="24"/>
        </w:rPr>
        <w:t xml:space="preserve">ó</w:t>
      </w:r>
      <w:r>
        <w:rPr>
          <w:rFonts w:ascii="Calibri" w:hAnsi="Calibri"/>
          <w:sz w:val="24"/>
          <w:szCs w:val="24"/>
        </w:rPr>
        <w:t xml:space="preserve">, gasos combustibles, instal·lacions petrol</w:t>
      </w:r>
      <w:r>
        <w:rPr>
          <w:rFonts w:ascii="Calibri" w:hAnsi="Calibri" w:cs="Calibri" w:eastAsia="Calibri"/>
          <w:sz w:val="24"/>
          <w:szCs w:val="24"/>
        </w:rPr>
        <w:t xml:space="preserve">í</w:t>
      </w:r>
      <w:r>
        <w:rPr>
          <w:rFonts w:ascii="Calibri" w:hAnsi="Calibri"/>
          <w:sz w:val="24"/>
          <w:szCs w:val="24"/>
        </w:rPr>
        <w:t xml:space="preserve">feres, instal·lacions t</w:t>
      </w:r>
      <w:r>
        <w:rPr>
          <w:rFonts w:ascii="Calibri" w:hAnsi="Calibri" w:cs="Calibri" w:eastAsia="Calibri"/>
          <w:sz w:val="24"/>
          <w:szCs w:val="24"/>
        </w:rPr>
        <w:t xml:space="preserve">è</w:t>
      </w:r>
      <w:r>
        <w:rPr>
          <w:rFonts w:ascii="Calibri" w:hAnsi="Calibri"/>
          <w:sz w:val="24"/>
          <w:szCs w:val="24"/>
        </w:rPr>
        <w:t xml:space="preserve">rmiques i d’ascensors que s’hagin realitzat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Certificats d’inspeccions t</w:t>
      </w:r>
      <w:r>
        <w:rPr>
          <w:rFonts w:ascii="Calibri" w:hAnsi="Calibri" w:cs="Calibri" w:eastAsia="Calibri"/>
          <w:sz w:val="24"/>
          <w:szCs w:val="24"/>
        </w:rPr>
        <w:t xml:space="preserve">è</w:t>
      </w:r>
      <w:r>
        <w:rPr>
          <w:rFonts w:ascii="Calibri" w:hAnsi="Calibri"/>
          <w:sz w:val="24"/>
          <w:szCs w:val="24"/>
        </w:rPr>
        <w:t xml:space="preserve">cniques de les instal·lacions comunes sotmeses a reglamentaci</w:t>
      </w:r>
      <w:r>
        <w:rPr>
          <w:rFonts w:ascii="Calibri" w:hAnsi="Calibri" w:cs="Calibri" w:eastAsia="Calibri"/>
          <w:sz w:val="24"/>
          <w:szCs w:val="24"/>
        </w:rPr>
        <w:t xml:space="preserve">ó</w:t>
      </w:r>
      <w:r>
        <w:rPr>
          <w:rFonts w:ascii="Calibri" w:hAnsi="Calibri"/>
          <w:sz w:val="24"/>
          <w:szCs w:val="24"/>
        </w:rPr>
        <w:t xml:space="preserve"> de seguretat industrial</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Altra documentació que sigui rellevant per al coneixement de l’estat de l’edifici i tota la documentaci</w:t>
      </w:r>
      <w:r>
        <w:rPr>
          <w:rFonts w:ascii="Calibri" w:hAnsi="Calibri" w:cs="Calibri" w:eastAsia="Calibri"/>
          <w:sz w:val="24"/>
          <w:szCs w:val="24"/>
        </w:rPr>
        <w:t xml:space="preserve">ó</w:t>
      </w:r>
      <w:r>
        <w:rPr>
          <w:rFonts w:ascii="Calibri" w:hAnsi="Calibri"/>
          <w:sz w:val="24"/>
          <w:szCs w:val="24"/>
        </w:rPr>
        <w:t xml:space="preserve"> de qu</w:t>
      </w:r>
      <w:r>
        <w:rPr>
          <w:rFonts w:ascii="Calibri" w:hAnsi="Calibri" w:cs="Calibri" w:eastAsia="Calibri"/>
          <w:sz w:val="24"/>
          <w:szCs w:val="24"/>
        </w:rPr>
        <w:t xml:space="preserve">è</w:t>
      </w:r>
      <w:r>
        <w:rPr>
          <w:rFonts w:ascii="Calibri" w:hAnsi="Calibri"/>
          <w:sz w:val="24"/>
          <w:szCs w:val="24"/>
        </w:rPr>
        <w:t xml:space="preserve"> ja es disposi sobre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Style w:val="Norm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Informe d’inspecció tècnica obligatòria (IITE)</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Certificats d’inscripció en el Registre d’instal·lacions tècniques de seguretat industrial de Catalunya de les instal·lacions comunes de l’edifici de baixa tensió, gasos combustibles, instal·lacions petrolíferes, instal·lacions tèrmiques i d’ascensors que s’hagin realitzat</w: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cs="Courier New"/>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rPr>
  </w:style>
  <w:style w:styleId="M0091600" w:type="character" w:customStyle="1">
    <w:name w:val="M0091600"/>
    <w:qFormat/>
    <w:pPr>
      <w:suppressAutoHyphens w:val="true"/>
      <w:outlineLvl w:val="9"/>
    </w:pPr>
    <w:rPr>
      <w:rFonts w:ascii="Wingdings" w:hAnsi="Wingdings" w:cs="Courier New"/>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rPr>
  </w:style>
  <w:style w:styleId="M00C1600" w:type="character" w:customStyle="1">
    <w:name w:val="M00C1600"/>
    <w:qFormat/>
    <w:pPr>
      <w:suppressAutoHyphens w:val="true"/>
      <w:outlineLvl w:val="9"/>
    </w:pPr>
    <w:rPr>
      <w:rFonts w:ascii="Wingdings" w:hAnsi="Wingdings" w:cs="Courier New"/>
    </w:rPr>
  </w:style>
  <w:style w:styleId="M00D1600" w:type="character" w:customStyle="1">
    <w:name w:val="M00D1600"/>
    <w:qFormat/>
    <w:pPr>
      <w:suppressAutoHyphens w:val="true"/>
      <w:outlineLvl w:val="9"/>
    </w:pPr>
    <w:rPr>
      <w:rFonts w:ascii="Wingdings" w:hAnsi="Wingdings"/>
    </w:rPr>
  </w:style>
  <w:style w:styleId="M00E1600" w:type="character" w:customStyle="1">
    <w:name w:val="M00E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0U250310" Type="http://schemas.openxmlformats.org/officeDocument/2006/relationships/image" Target="http://s3-eu-west-1.amazonaws.com/llibreedifici/identificacions/foto_facanas/000/000/001/original/imagem-424.jpg?1445553936" TargetMode="External" /><Relationship Id="M0000U290310" Type="http://schemas.openxmlformats.org/officeDocument/2006/relationships/image" Target="http://s3-eu-west-1.amazonaws.com/llibreedifici/identificacions/planol_emplacaments/000/000/001/original/1311185557-planta-emplazamiento-1000x653.jpg?1445553936"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389174"/>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352926"/>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23</Pages>
  <Words>3615</Words>
  <Application>OpenXML/ODF Translator Command Line Tool 3.0</Application>
  <DocSecurity>0</DocSecurity>
  <Paragraphs>294</Paragraphs>
  <TotalTime>25</TotalTime>
  <ScaleCrop>false</ScaleCrop>
  <LinksUpToDate>false</LinksUpToDate>
  <CharactersWithSpaces>23233</CharactersWithSpaces>
  <Characters>19964</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2015-10-22T21:14:00Z</dcterms:created>
  <dc:creator xmlns:dc="http://purl.org/dc/elements/1.1/">Jordi Martí Muñoz</dc:creator>
  <dc:description xmlns:dc="http://purl.org/dc/elements/1.1/"/>
  <cp:keywords/>
  <dcterms:modified xmlns:dcterms="http://purl.org/dc/terms/" xmlns:xsi="http://www.w3.org/2001/XMLSchema-instance" xsi:type="dcterms:W3CDTF">2015-10-22T23:00:21Z</dcterms:modified>
  <cp:revision>8</cp:revision>
  <dc:subject xmlns:dc="http://purl.org/dc/elements/1.1/"/>
  <dc:title xmlns:dc="http://purl.org/dc/elements/1.1/"/>
</cp:coreProperties>
</file>