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Verlofbeleid 2026</w:t>
      </w:r>
    </w:p>
    <w:tbl>
      <w:tblPr>
        <w:tblStyle w:val="LightGrid-Accent1"/>
        <w:tblW w:type="auto" w:w="0"/>
        <w:tblLook w:firstColumn="1" w:firstRow="1" w:lastColumn="0" w:lastRow="0" w:noHBand="0" w:noVBand="1" w:val="04A0"/>
      </w:tblPr>
      <w:tblGrid>
        <w:gridCol w:w="4873"/>
        <w:gridCol w:w="4873"/>
      </w:tblGrid>
      <w:tr>
        <w:tc>
          <w:tcPr>
            <w:tcW w:type="dxa" w:w="4873"/>
          </w:tcPr>
          <w:p>
            <w:r>
              <w:t>Versie</w:t>
            </w:r>
          </w:p>
        </w:tc>
        <w:tc>
          <w:tcPr>
            <w:tcW w:type="dxa" w:w="4873"/>
          </w:tcPr>
          <w:p>
            <w:r>
              <w:t>3.0</w:t>
            </w:r>
          </w:p>
        </w:tc>
      </w:tr>
      <w:tr>
        <w:tc>
          <w:tcPr>
            <w:tcW w:type="dxa" w:w="4873"/>
          </w:tcPr>
          <w:p>
            <w:r>
              <w:t>Status</w:t>
            </w:r>
          </w:p>
        </w:tc>
        <w:tc>
          <w:tcPr>
            <w:tcW w:type="dxa" w:w="4873"/>
          </w:tcPr>
          <w:p>
            <w:r>
              <w:t>Goedgekeurd</w:t>
            </w:r>
          </w:p>
        </w:tc>
      </w:tr>
      <w:tr>
        <w:tc>
          <w:tcPr>
            <w:tcW w:type="dxa" w:w="4873"/>
          </w:tcPr>
          <w:p>
            <w:r>
              <w:t>In werking</w:t>
            </w:r>
          </w:p>
        </w:tc>
        <w:tc>
          <w:tcPr>
            <w:tcW w:type="dxa" w:w="4873"/>
          </w:tcPr>
          <w:p>
            <w:r>
              <w:t>1 januari 2026</w:t>
            </w:r>
          </w:p>
        </w:tc>
      </w:tr>
      <w:tr>
        <w:tc>
          <w:tcPr>
            <w:tcW w:type="dxa" w:w="4873"/>
          </w:tcPr>
          <w:p>
            <w:r>
              <w:t>Auteur</w:t>
            </w:r>
          </w:p>
        </w:tc>
        <w:tc>
          <w:tcPr>
            <w:tcW w:type="dxa" w:w="4873"/>
          </w:tcPr>
          <w:p>
            <w:r>
              <w:t>Lotte Peeters, HR Business Partner</w:t>
            </w:r>
          </w:p>
        </w:tc>
      </w:tr>
      <w:tr>
        <w:tc>
          <w:tcPr>
            <w:tcW w:type="dxa" w:w="4873"/>
          </w:tcPr>
          <w:p>
            <w:r>
              <w:t>Goedgekeurd door</w:t>
            </w:r>
          </w:p>
        </w:tc>
        <w:tc>
          <w:tcPr>
            <w:tcW w:type="dxa" w:w="4873"/>
          </w:tcPr>
          <w:p>
            <w:r>
              <w:t>Wouter De Clercq, HR-directeur – 15 januari 2026</w:t>
            </w:r>
          </w:p>
        </w:tc>
      </w:tr>
      <w:tr>
        <w:tc>
          <w:tcPr>
            <w:tcW w:type="dxa" w:w="4873"/>
          </w:tcPr>
          <w:p>
            <w:r>
              <w:t>Advies ondernemingsraad</w:t>
            </w:r>
          </w:p>
        </w:tc>
        <w:tc>
          <w:tcPr>
            <w:tcW w:type="dxa" w:w="4873"/>
          </w:tcPr>
          <w:p>
            <w:r>
              <w:t>Positief advies op 9 december 2025</w:t>
            </w:r>
          </w:p>
        </w:tc>
      </w:tr>
      <w:tr>
        <w:tc>
          <w:tcPr>
            <w:tcW w:type="dxa" w:w="4873"/>
          </w:tcPr>
          <w:p>
            <w:r>
              <w:t>Vervangt</w:t>
            </w:r>
          </w:p>
        </w:tc>
        <w:tc>
          <w:tcPr>
            <w:tcW w:type="dxa" w:w="4873"/>
          </w:tcPr>
          <w:p>
            <w:r>
              <w:t>Verlofbeleid versie 1.2 van 1 februari 2019 (vanaf heden verouderd)</w:t>
            </w:r>
          </w:p>
        </w:tc>
      </w:tr>
    </w:tbl>
    <w:p/>
    <w:p>
      <w:pPr>
        <w:pStyle w:val="Heading1"/>
      </w:pPr>
      <w:r>
        <w:t>1. Doel</w:t>
      </w:r>
    </w:p>
    <w:p>
      <w:r>
        <w:t>Dit beleid beschrijft hoe medewerkers van Arvelia HR Services NV vakantie en verlof opnemen. Het vervangt integraal de versie 1.2 uit 2019. Belangrijkste wijzigingen: het aantal extralegale verlofdagen stijgt van 4 naar 6, verlofaanvragen verlopen uitsluitend digitaal via MyArvelia, en de overdrachtstermijn voor extralegale dagen wordt verlengd tot 31 maart van het volgende jaar.</w:t>
      </w:r>
    </w:p>
    <w:p>
      <w:pPr>
        <w:pStyle w:val="Heading1"/>
      </w:pPr>
      <w:r>
        <w:t>2. Vakantiedagen</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Soort</w:t>
            </w:r>
          </w:p>
        </w:tc>
        <w:tc>
          <w:tcPr>
            <w:tcW w:type="dxa" w:w="3249"/>
          </w:tcPr>
          <w:p>
            <w:r>
              <w:t>Aantal (voltijds)</w:t>
            </w:r>
          </w:p>
        </w:tc>
        <w:tc>
          <w:tcPr>
            <w:tcW w:type="dxa" w:w="3249"/>
          </w:tcPr>
          <w:p>
            <w:r>
              <w:t>Opmerking</w:t>
            </w:r>
          </w:p>
        </w:tc>
      </w:tr>
      <w:tr>
        <w:tc>
          <w:tcPr>
            <w:tcW w:type="dxa" w:w="3249"/>
          </w:tcPr>
          <w:p>
            <w:r>
              <w:t>Wettelijke vakantiedagen</w:t>
            </w:r>
          </w:p>
        </w:tc>
        <w:tc>
          <w:tcPr>
            <w:tcW w:type="dxa" w:w="3249"/>
          </w:tcPr>
          <w:p>
            <w:r>
              <w:t>20</w:t>
            </w:r>
          </w:p>
        </w:tc>
        <w:tc>
          <w:tcPr>
            <w:tcW w:type="dxa" w:w="3249"/>
          </w:tcPr>
          <w:p>
            <w:r>
              <w:t>Op basis van prestaties in het vakantiedienstjaar (vorig kalenderjaar)</w:t>
            </w:r>
          </w:p>
        </w:tc>
      </w:tr>
      <w:tr>
        <w:tc>
          <w:tcPr>
            <w:tcW w:type="dxa" w:w="3249"/>
          </w:tcPr>
          <w:p>
            <w:r>
              <w:t>Extralegale verlofdagen</w:t>
            </w:r>
          </w:p>
        </w:tc>
        <w:tc>
          <w:tcPr>
            <w:tcW w:type="dxa" w:w="3249"/>
          </w:tcPr>
          <w:p>
            <w:r>
              <w:t>6</w:t>
            </w:r>
          </w:p>
        </w:tc>
        <w:tc>
          <w:tcPr>
            <w:tcW w:type="dxa" w:w="3249"/>
          </w:tcPr>
          <w:p>
            <w:r>
              <w:t>Pro rata bij deeltijdse tewerkstelling of indiensttreding in de loop van het jaar</w:t>
            </w:r>
          </w:p>
        </w:tc>
      </w:tr>
      <w:tr>
        <w:tc>
          <w:tcPr>
            <w:tcW w:type="dxa" w:w="3249"/>
          </w:tcPr>
          <w:p>
            <w:r>
              <w:t>Anciënniteitsdagen</w:t>
            </w:r>
          </w:p>
        </w:tc>
        <w:tc>
          <w:tcPr>
            <w:tcW w:type="dxa" w:w="3249"/>
          </w:tcPr>
          <w:p>
            <w:r>
              <w:t>+1 per 5 jaar dienst</w:t>
            </w:r>
          </w:p>
        </w:tc>
        <w:tc>
          <w:tcPr>
            <w:tcW w:type="dxa" w:w="3249"/>
          </w:tcPr>
          <w:p>
            <w:r>
              <w:t>Maximaal 4 bijkomende dagen</w:t>
            </w:r>
          </w:p>
        </w:tc>
      </w:tr>
      <w:tr>
        <w:tc>
          <w:tcPr>
            <w:tcW w:type="dxa" w:w="3249"/>
          </w:tcPr>
          <w:p>
            <w:r>
              <w:t>Wettelijke feestdagen</w:t>
            </w:r>
          </w:p>
        </w:tc>
        <w:tc>
          <w:tcPr>
            <w:tcW w:type="dxa" w:w="3249"/>
          </w:tcPr>
          <w:p>
            <w:r>
              <w:t>10</w:t>
            </w:r>
          </w:p>
        </w:tc>
        <w:tc>
          <w:tcPr>
            <w:tcW w:type="dxa" w:w="3249"/>
          </w:tcPr>
          <w:p>
            <w:r>
              <w:t>Vervangdag bij feestdag op zaterdag of zondag</w:t>
            </w:r>
          </w:p>
        </w:tc>
      </w:tr>
    </w:tbl>
    <w:p/>
    <w:p>
      <w:r>
        <w:t>Nieuwe medewerkers die in de loop van het jaar starten, hebben wettelijke vakantiedagen op basis van hun prestaties bij de vorige werkgever (vakantieattest). Starters en herintreders kunnen gebruikmaken van jeugdvakantie of Europese vakantie volgens de wettelijke voorwaarden.</w:t>
      </w:r>
    </w:p>
    <w:p>
      <w:pPr>
        <w:pStyle w:val="Heading1"/>
      </w:pPr>
      <w:r>
        <w:t>3. Aanvragen en goedkeuren</w:t>
      </w:r>
    </w:p>
    <w:p>
      <w:pPr>
        <w:pStyle w:val="ListBullet"/>
      </w:pPr>
      <w:r>
        <w:t>Alle verlofaanvragen gebeuren via het personeelsportaal MyArvelia. Papieren formulieren worden niet langer aanvaard.</w:t>
      </w:r>
    </w:p>
    <w:p>
      <w:pPr>
        <w:pStyle w:val="ListBullet"/>
      </w:pPr>
      <w:r>
        <w:t>Verlof van meer dan 3 aaneengesloten werkdagen wordt minstens 2 weken vooraf aangevraagd.</w:t>
      </w:r>
    </w:p>
    <w:p>
      <w:pPr>
        <w:pStyle w:val="ListBullet"/>
      </w:pPr>
      <w:r>
        <w:t>De leidinggevende keurt goed of weigert binnen 5 werkdagen, met motivering bij weigering.</w:t>
      </w:r>
    </w:p>
    <w:p>
      <w:pPr>
        <w:pStyle w:val="ListBullet"/>
      </w:pPr>
      <w:r>
        <w:t>In de zomerperiode (1 juli – 31 augustus) heeft elke medewerker recht op minstens 2 aaneengesloten weken verlof, in overleg met het team.</w:t>
      </w:r>
    </w:p>
    <w:p>
      <w:pPr>
        <w:pStyle w:val="Heading1"/>
      </w:pPr>
      <w:r>
        <w:t>4. Overdracht</w:t>
      </w:r>
    </w:p>
    <w:p>
      <w:r>
        <w:t>Wettelijke vakantiedagen moeten binnen het kalenderjaar worden opgenomen en zijn niet overdraagbaar, behalve in de wettelijk voorziene gevallen (bv. langdurige arbeidsongeschiktheid). Extralegale dagen kunnen tot 31 maart van het volgende jaar worden overgedragen; daarna vervallen ze zonder vergoeding.</w:t>
      </w:r>
    </w:p>
    <w:p>
      <w:pPr>
        <w:pStyle w:val="Heading1"/>
      </w:pPr>
      <w:r>
        <w:t>5. Omstandigheidsverlof en andere verloven</w:t>
      </w:r>
    </w:p>
    <w:p>
      <w:r>
        <w:t>Omstandigheidsverlof (klein verlof) volgt het KB van 28 augustus 1963 en de sectorale regeling van PC 200. Het geboorteverlof bedraagt 20 dagen. Voor tijdskrediet, ouderschapsverlof en andere thematische verloven gelden de regels van de RVA; HR begeleidt de aanvraag.</w:t>
      </w:r>
    </w:p>
    <w:tbl>
      <w:tblPr>
        <w:tblStyle w:val="LightGrid-Accent1"/>
        <w:tblW w:type="auto" w:w="0"/>
        <w:tblLook w:firstColumn="1" w:firstRow="1" w:lastColumn="0" w:lastRow="0" w:noHBand="0" w:noVBand="1" w:val="04A0"/>
      </w:tblPr>
      <w:tblGrid>
        <w:gridCol w:w="4873"/>
        <w:gridCol w:w="4873"/>
      </w:tblGrid>
      <w:tr>
        <w:tc>
          <w:tcPr>
            <w:tcW w:type="dxa" w:w="4873"/>
          </w:tcPr>
          <w:p>
            <w:r>
              <w:t>Gebeurtenis</w:t>
            </w:r>
          </w:p>
        </w:tc>
        <w:tc>
          <w:tcPr>
            <w:tcW w:type="dxa" w:w="4873"/>
          </w:tcPr>
          <w:p>
            <w:r>
              <w:t>Duur</w:t>
            </w:r>
          </w:p>
        </w:tc>
      </w:tr>
      <w:tr>
        <w:tc>
          <w:tcPr>
            <w:tcW w:type="dxa" w:w="4873"/>
          </w:tcPr>
          <w:p>
            <w:r>
              <w:t>Huwelijk van de werknemer</w:t>
            </w:r>
          </w:p>
        </w:tc>
        <w:tc>
          <w:tcPr>
            <w:tcW w:type="dxa" w:w="4873"/>
          </w:tcPr>
          <w:p>
            <w:r>
              <w:t>2 dagen</w:t>
            </w:r>
          </w:p>
        </w:tc>
      </w:tr>
      <w:tr>
        <w:tc>
          <w:tcPr>
            <w:tcW w:type="dxa" w:w="4873"/>
          </w:tcPr>
          <w:p>
            <w:r>
              <w:t>Overlijden echtgeno(o)t(e), kind, ouder</w:t>
            </w:r>
          </w:p>
        </w:tc>
        <w:tc>
          <w:tcPr>
            <w:tcW w:type="dxa" w:w="4873"/>
          </w:tcPr>
          <w:p>
            <w:r>
              <w:t>3 dagen</w:t>
            </w:r>
          </w:p>
        </w:tc>
      </w:tr>
      <w:tr>
        <w:tc>
          <w:tcPr>
            <w:tcW w:type="dxa" w:w="4873"/>
          </w:tcPr>
          <w:p>
            <w:r>
              <w:t>Overlijden broer, zus, grootouder (inwonend)</w:t>
            </w:r>
          </w:p>
        </w:tc>
        <w:tc>
          <w:tcPr>
            <w:tcW w:type="dxa" w:w="4873"/>
          </w:tcPr>
          <w:p>
            <w:r>
              <w:t>2 dagen</w:t>
            </w:r>
          </w:p>
        </w:tc>
      </w:tr>
      <w:tr>
        <w:tc>
          <w:tcPr>
            <w:tcW w:type="dxa" w:w="4873"/>
          </w:tcPr>
          <w:p>
            <w:r>
              <w:t>Plechtige communie / lentefeest kind</w:t>
            </w:r>
          </w:p>
        </w:tc>
        <w:tc>
          <w:tcPr>
            <w:tcW w:type="dxa" w:w="4873"/>
          </w:tcPr>
          <w:p>
            <w:r>
              <w:t>1 dag</w:t>
            </w:r>
          </w:p>
        </w:tc>
      </w:tr>
    </w:tbl>
    <w:p/>
    <w:p>
      <w:pPr>
        <w:pStyle w:val="Heading1"/>
      </w:pPr>
      <w:r>
        <w:t>6. Collectieve sluiting</w:t>
      </w:r>
    </w:p>
    <w:p>
      <w:r>
        <w:t>Er is geen collectieve sluiting. De vroegere sluiting tussen Kerstmis en Nieuwjaar (versie 2019) werd afgeschaft; een minimale bezetting per team wordt afgesproken.</w:t>
      </w:r>
    </w:p>
    <w:p>
      <w:pPr>
        <w:pStyle w:val="Heading1"/>
      </w:pPr>
      <w:r>
        <w:t>7. Bronnen</w:t>
      </w:r>
    </w:p>
    <w:p>
      <w:pPr>
        <w:pStyle w:val="ListBullet"/>
      </w:pPr>
      <w:r>
        <w:t>Wetgeving jaarlijkse vakantie (gecoördineerde wetten van 28 juni 1971).</w:t>
      </w:r>
    </w:p>
    <w:p>
      <w:pPr>
        <w:pStyle w:val="ListBullet"/>
      </w:pPr>
      <w:r>
        <w:t>KB van 28 augustus 1963 (omstandigheidsverlof).</w:t>
      </w:r>
    </w:p>
    <w:p>
      <w:pPr>
        <w:pStyle w:val="ListBullet"/>
      </w:pPr>
      <w:r>
        <w:t>Arbeidsreglement Arvelia, versie 2026-01, hoofdstuk 4.</w:t>
      </w:r>
    </w:p>
    <w:p>
      <w:pPr>
        <w:pStyle w:val="ListBullet"/>
      </w:pPr>
      <w:r>
        <w:t>Advies ondernemingsraad d.d. 9 december 2025.</w:t>
      </w:r>
    </w:p>
    <w:p>
      <w:r>
        <w:rPr>
          <w:i/>
          <w:color w:val="555555"/>
        </w:rPr>
        <w:t>Vragen? hr@arvelia-hr.be – Lotte Peeters, HR Business Partner.</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Intern document – vervangt Verlofbeleid v1.2 (2019)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Arvelia HR Services NV – Verlofbeleid – v3.0 – GOEDGEKEURD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Verlofbeleid 2026 v3.0</dc:title>
  <dc:subject/>
  <dc:creator>Lotte Peeters</dc:creator>
  <cp:keywords/>
  <dc:description/>
  <cp:lastModifiedBy>Lotte Peeters</cp:lastModifiedBy>
  <cp:revision>1</cp:revision>
  <dcterms:created xsi:type="dcterms:W3CDTF">2025-11-20T10:00:00Z</dcterms:created>
  <dcterms:modified xsi:type="dcterms:W3CDTF">2026-01-15T16:00:00Z</dcterms:modified>
  <cp:category/>
</cp:coreProperties>
</file>