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Functieomschrijving – Payroll Consultant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Functieklasse</w:t>
            </w:r>
          </w:p>
        </w:tc>
        <w:tc>
          <w:tcPr>
            <w:tcW w:type="dxa" w:w="4873"/>
          </w:tcPr>
          <w:p>
            <w:r>
              <w:t>B2 (zie Loonschalen 2026)</w:t>
            </w:r>
          </w:p>
        </w:tc>
      </w:tr>
      <w:tr>
        <w:tc>
          <w:tcPr>
            <w:tcW w:type="dxa" w:w="4873"/>
          </w:tcPr>
          <w:p>
            <w:r>
              <w:t>Afdeling</w:t>
            </w:r>
          </w:p>
        </w:tc>
        <w:tc>
          <w:tcPr>
            <w:tcW w:type="dxa" w:w="4873"/>
          </w:tcPr>
          <w:p>
            <w:r>
              <w:t>Payroll</w:t>
            </w:r>
          </w:p>
        </w:tc>
      </w:tr>
      <w:tr>
        <w:tc>
          <w:tcPr>
            <w:tcW w:type="dxa" w:w="4873"/>
          </w:tcPr>
          <w:p>
            <w:r>
              <w:t>Rapporteert aan</w:t>
            </w:r>
          </w:p>
        </w:tc>
        <w:tc>
          <w:tcPr>
            <w:tcW w:type="dxa" w:w="4873"/>
          </w:tcPr>
          <w:p>
            <w:r>
              <w:t>Teamlead Payroll (Bram Wuyts)</w:t>
            </w:r>
          </w:p>
        </w:tc>
      </w:tr>
      <w:tr>
        <w:tc>
          <w:tcPr>
            <w:tcW w:type="dxa" w:w="4873"/>
          </w:tcPr>
          <w:p>
            <w:r>
              <w:t>Versie / status</w:t>
            </w:r>
          </w:p>
        </w:tc>
        <w:tc>
          <w:tcPr>
            <w:tcW w:type="dxa" w:w="4873"/>
          </w:tcPr>
          <w:p>
            <w:r>
              <w:t>v2.0 – Goedgekeurd</w:t>
            </w:r>
          </w:p>
        </w:tc>
      </w:tr>
      <w:tr>
        <w:tc>
          <w:tcPr>
            <w:tcW w:type="dxa" w:w="4873"/>
          </w:tcPr>
          <w:p>
            <w:r>
              <w:t>Opgesteld door</w:t>
            </w:r>
          </w:p>
        </w:tc>
        <w:tc>
          <w:tcPr>
            <w:tcW w:type="dxa" w:w="4873"/>
          </w:tcPr>
          <w:p>
            <w:r>
              <w:t>Lotte Peeters, HR Business Partner, 1 juni 2026</w:t>
            </w:r>
          </w:p>
        </w:tc>
      </w:tr>
      <w:tr>
        <w:tc>
          <w:tcPr>
            <w:tcW w:type="dxa" w:w="4873"/>
          </w:tcPr>
          <w:p>
            <w:r>
              <w:t>Goedgekeurd door</w:t>
            </w:r>
          </w:p>
        </w:tc>
        <w:tc>
          <w:tcPr>
            <w:tcW w:type="dxa" w:w="4873"/>
          </w:tcPr>
          <w:p>
            <w:r>
              <w:t>Wouter De Clercq, HR-directeur, 8 juni 2026</w:t>
            </w:r>
          </w:p>
        </w:tc>
      </w:tr>
    </w:tbl>
    <w:p/>
    <w:p>
      <w:pPr>
        <w:pStyle w:val="Heading1"/>
      </w:pPr>
      <w:r>
        <w:t>Doel van de functie</w:t>
      </w:r>
    </w:p>
    <w:p>
      <w:r>
        <w:t>De Payroll Consultant verzorgt de correcte en tijdige loonverwerking voor een portefeuille van KMO-klanten (gemiddeld 25 dossiers, ca. 900 loonbrieven per maand) en is het eerste aanspreekpunt voor hun sociaaljuridische vragen.</w:t>
      </w:r>
    </w:p>
    <w:p>
      <w:pPr>
        <w:pStyle w:val="Heading1"/>
      </w:pPr>
      <w:r>
        <w:t>Kernverantwoordelijkheden</w:t>
      </w:r>
    </w:p>
    <w:p>
      <w:pPr>
        <w:pStyle w:val="ListBullet"/>
      </w:pPr>
      <w:r>
        <w:t>Maandelijkse loonberekening en controle, inclusief variabele prestaties, ploegenpremies en loonbeslag.</w:t>
      </w:r>
    </w:p>
    <w:p>
      <w:pPr>
        <w:pStyle w:val="ListBullet"/>
      </w:pPr>
      <w:r>
        <w:t>Aangiftes bij de RSZ (Dimona, DmfA) en opmaak van de fiscale fiches (281.10).</w:t>
      </w:r>
    </w:p>
    <w:p>
      <w:pPr>
        <w:pStyle w:val="ListBullet"/>
      </w:pPr>
      <w:r>
        <w:t>Toepassing van de juiste paritaire comités en sectorale cao's (o.a. PC 200, 118, 124, 302).</w:t>
      </w:r>
    </w:p>
    <w:p>
      <w:pPr>
        <w:pStyle w:val="ListBullet"/>
      </w:pPr>
      <w:r>
        <w:t>Opvolging van indexeringen, ecocheques, eindejaarspremies en vakantiegeld.</w:t>
      </w:r>
    </w:p>
    <w:p>
      <w:pPr>
        <w:pStyle w:val="ListBullet"/>
      </w:pPr>
      <w:r>
        <w:t>Advies aan klanten over arbeidsovereenkomsten, tijdelijke werkloosheid en ontslagprocedures, in samenwerking met het erkend sociaal secretariaat.</w:t>
      </w:r>
    </w:p>
    <w:p>
      <w:pPr>
        <w:pStyle w:val="ListBullet"/>
      </w:pPr>
      <w:r>
        <w:t>Correcte registratie in het payrollsysteem en naleving van de AVG.</w:t>
      </w:r>
    </w:p>
    <w:p>
      <w:pPr>
        <w:pStyle w:val="Heading1"/>
      </w:pPr>
      <w:r>
        <w:t>Profiel</w:t>
      </w:r>
    </w:p>
    <w:p>
      <w:pPr>
        <w:pStyle w:val="ListBullet"/>
      </w:pPr>
      <w:r>
        <w:t>Bachelor (bv. Office Management, Rechtspraktijk, HRM) of gelijkwaardig door ervaring.</w:t>
      </w:r>
    </w:p>
    <w:p>
      <w:pPr>
        <w:pStyle w:val="ListBullet"/>
      </w:pPr>
      <w:r>
        <w:t>Minstens 2 jaar ervaring in loonadministratie bij een sociaal secretariaat of payrollbureau.</w:t>
      </w:r>
    </w:p>
    <w:p>
      <w:pPr>
        <w:pStyle w:val="ListBullet"/>
      </w:pPr>
      <w:r>
        <w:t>Nauwkeurig, klantgericht, stressbestendig tijdens piekperiodes (eindejaar, januari).</w:t>
      </w:r>
    </w:p>
    <w:p>
      <w:pPr>
        <w:pStyle w:val="ListBullet"/>
      </w:pPr>
      <w:r>
        <w:t>Uitstekende kennis Nederlands; goede kennis Frans is een troef.</w:t>
      </w:r>
    </w:p>
    <w:p>
      <w:pPr>
        <w:pStyle w:val="Heading1"/>
      </w:pPr>
      <w:r>
        <w:t>KPI's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Indicator</w:t>
            </w:r>
          </w:p>
        </w:tc>
        <w:tc>
          <w:tcPr>
            <w:tcW w:type="dxa" w:w="4873"/>
          </w:tcPr>
          <w:p>
            <w:r>
              <w:t>Norm</w:t>
            </w:r>
          </w:p>
        </w:tc>
      </w:tr>
      <w:tr>
        <w:tc>
          <w:tcPr>
            <w:tcW w:type="dxa" w:w="4873"/>
          </w:tcPr>
          <w:p>
            <w:r>
              <w:t>Loonbrieven foutloos bij eerste verwerking</w:t>
            </w:r>
          </w:p>
        </w:tc>
        <w:tc>
          <w:tcPr>
            <w:tcW w:type="dxa" w:w="4873"/>
          </w:tcPr>
          <w:p>
            <w:r>
              <w:t>≥ 98%</w:t>
            </w:r>
          </w:p>
        </w:tc>
      </w:tr>
      <w:tr>
        <w:tc>
          <w:tcPr>
            <w:tcW w:type="dxa" w:w="4873"/>
          </w:tcPr>
          <w:p>
            <w:r>
              <w:t>Tijdige RSZ-aangiftes</w:t>
            </w:r>
          </w:p>
        </w:tc>
        <w:tc>
          <w:tcPr>
            <w:tcW w:type="dxa" w:w="4873"/>
          </w:tcPr>
          <w:p>
            <w:r>
              <w:t>100%</w:t>
            </w:r>
          </w:p>
        </w:tc>
      </w:tr>
      <w:tr>
        <w:tc>
          <w:tcPr>
            <w:tcW w:type="dxa" w:w="4873"/>
          </w:tcPr>
          <w:p>
            <w:r>
              <w:t>Klanttevredenheid (jaarlijkse bevraging)</w:t>
            </w:r>
          </w:p>
        </w:tc>
        <w:tc>
          <w:tcPr>
            <w:tcW w:type="dxa" w:w="4873"/>
          </w:tcPr>
          <w:p>
            <w:r>
              <w:t>≥ 8/10</w:t>
            </w:r>
          </w:p>
        </w:tc>
      </w:tr>
      <w:tr>
        <w:tc>
          <w:tcPr>
            <w:tcW w:type="dxa" w:w="4873"/>
          </w:tcPr>
          <w:p>
            <w:r>
              <w:t>Antwoordtermijn klantvragen</w:t>
            </w:r>
          </w:p>
        </w:tc>
        <w:tc>
          <w:tcPr>
            <w:tcW w:type="dxa" w:w="4873"/>
          </w:tcPr>
          <w:p>
            <w:r>
              <w:t>≤ 2 werkdagen</w:t>
            </w:r>
          </w:p>
        </w:tc>
      </w:tr>
    </w:tbl>
    <w:p/>
    <w:p>
      <w:r>
        <w:rPr>
          <w:i/>
          <w:color w:val="555555"/>
        </w:rPr>
        <w:t>Bronnen: functieclassificatie Arvelia 2024 (methode analytische weging), Loonschalen 2026, competentiewoordenboek HR.</w:t>
      </w:r>
    </w:p>
    <w:sectPr w:rsidR="00FC693F" w:rsidRPr="0006063C" w:rsidSect="00034616">
      <w:head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Arvelia HR Services NV – Functieomschrijving – v2.0 – Goedgekeurd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Functieomschrijving Payroll Consultant v2.0</dc:title>
  <dc:subject/>
  <dc:creator>Lotte Peeters</dc:creator>
  <cp:keywords/>
  <dc:description/>
  <cp:lastModifiedBy>Lotte Peeters</cp:lastModifiedBy>
  <cp:revision>1</cp:revision>
  <dcterms:created xsi:type="dcterms:W3CDTF">2026-06-01T10:00:00Z</dcterms:created>
  <dcterms:modified xsi:type="dcterms:W3CDTF">2026-06-08T11:00:00Z</dcterms:modified>
  <cp:category/>
</cp:coreProperties>
</file>