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0"/>
        </w:rPr>
        <w:t>AI Deed &amp; Plat Helper</w:t>
        <w:br/>
        <w:t>Executive Summary</w:t>
      </w:r>
    </w:p>
    <w:p>
      <w:pPr>
        <w:jc w:val="center"/>
      </w:pPr>
      <w:r>
        <w:rPr>
          <w:i/>
          <w:color w:val="2E86C1"/>
          <w:sz w:val="20"/>
        </w:rPr>
        <w:t>Red Tail Surveying, Inc. | Taos County, NM | April 2026</w:t>
      </w:r>
    </w:p>
    <w:p/>
    <w:p>
      <w:r>
        <w:rPr>
          <w:b/>
          <w:color w:val="1A3A5C"/>
          <w:sz w:val="28"/>
        </w:rPr>
        <w:t>What Is the AI Deed &amp; Plat Helper?</w:t>
      </w:r>
    </w:p>
    <w:p>
      <w:r>
        <w:rPr>
          <w:b w:val="0"/>
          <w:i w:val="0"/>
          <w:sz w:val="21"/>
        </w:rPr>
        <w:t>The AI Deed &amp; Plat Helper is a custom-built research automation platform developed specifically for Red Tail Surveying. It replaces the traditional, manual process of deed and plat research with a fast, intelligent, browser-based workflow that runs entirely in-house on our office network.</w:t>
      </w:r>
    </w:p>
    <w:p>
      <w:r>
        <w:rPr>
          <w:b w:val="0"/>
          <w:i w:val="0"/>
          <w:sz w:val="21"/>
        </w:rPr>
        <w:t>The system is not an off-the-shelf product. It was purpose-built for RTSI's workflow, data sources, and Taos County record systems. No other surveying firm in the region has a comparable tool.</w:t>
      </w:r>
    </w:p>
    <w:p/>
    <w:p>
      <w:r>
        <w:rPr>
          <w:b/>
          <w:color w:val="1A3A5C"/>
          <w:sz w:val="28"/>
        </w:rPr>
        <w:t>The Problem It Solves</w:t>
      </w:r>
    </w:p>
    <w:p>
      <w:r>
        <w:rPr>
          <w:b w:val="0"/>
          <w:i w:val="0"/>
          <w:sz w:val="21"/>
        </w:rPr>
        <w:t>Land surveying research is time-intensive. Before any fieldwork begins, a surveyor must:</w:t>
      </w:r>
    </w:p>
    <w:p>
      <w:pPr>
        <w:pStyle w:val="ListBullet"/>
      </w:pPr>
      <w:r>
        <w:rPr>
          <w:sz w:val="21"/>
        </w:rPr>
        <w:t>Locate and retrieve the client's current deed from county records</w:t>
      </w:r>
    </w:p>
    <w:p>
      <w:pPr>
        <w:pStyle w:val="ListBullet"/>
      </w:pPr>
      <w:r>
        <w:rPr>
          <w:sz w:val="21"/>
        </w:rPr>
        <w:t>Find the corresponding plat (cabinet drawing) in our physical archive</w:t>
      </w:r>
    </w:p>
    <w:p>
      <w:pPr>
        <w:pStyle w:val="ListBullet"/>
      </w:pPr>
      <w:r>
        <w:rPr>
          <w:sz w:val="21"/>
        </w:rPr>
        <w:t>Identify all adjoining property owners and their deeds</w:t>
      </w:r>
    </w:p>
    <w:p>
      <w:pPr>
        <w:pStyle w:val="ListBullet"/>
      </w:pPr>
      <w:r>
        <w:rPr>
          <w:sz w:val="21"/>
        </w:rPr>
        <w:t>Search for prior surveys, easements, and conflicting boundary descriptions</w:t>
      </w:r>
    </w:p>
    <w:p>
      <w:pPr>
        <w:pStyle w:val="ListBullet"/>
      </w:pPr>
      <w:r>
        <w:rPr>
          <w:sz w:val="21"/>
        </w:rPr>
        <w:t>Compile all findings into a research package</w:t>
      </w:r>
    </w:p>
    <w:p>
      <w:r>
        <w:rPr>
          <w:b w:val="0"/>
          <w:i w:val="0"/>
          <w:sz w:val="21"/>
        </w:rPr>
        <w:t>This process typically takes 4–8 hours per job, often spread across multiple days, and is highly dependent on individual surveyors knowing where to look. It is also error-prone — missed adjoiners and inconsistent documentation are common sources of rework.</w:t>
      </w:r>
    </w:p>
    <w:p/>
    <w:p>
      <w:r>
        <w:rPr>
          <w:b/>
          <w:color w:val="1A3A5C"/>
          <w:sz w:val="28"/>
        </w:rPr>
        <w:t>The 6-Step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576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728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5184"/>
            <w:shd w:val="clear" w:color="auto" w:fill="1A3A5C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Setup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Enter client name and job type; pick the parcel on an interactive map</w:t>
            </w:r>
          </w:p>
        </w:tc>
      </w:tr>
      <w:tr>
        <w:tc>
          <w:tcPr>
            <w:tcW w:type="dxa" w:w="576"/>
            <w:shd w:val="clear" w:color="auto" w:fill="EBF5FB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20"/>
              </w:rPr>
              <w:t>Client Deed</w:t>
            </w:r>
          </w:p>
        </w:tc>
        <w:tc>
          <w:tcPr>
            <w:tcW w:type="dxa" w:w="5184"/>
            <w:shd w:val="clear" w:color="auto" w:fill="EBF5FB"/>
          </w:tcPr>
          <w:p>
            <w:r>
              <w:rPr>
                <w:sz w:val="20"/>
              </w:rPr>
              <w:t>Search county records and extract deed data automatically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Client Plat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Search our 45,000+ document plat cabinet archive instantly</w:t>
            </w:r>
          </w:p>
        </w:tc>
      </w:tr>
      <w:tr>
        <w:tc>
          <w:tcPr>
            <w:tcW w:type="dxa" w:w="576"/>
            <w:shd w:val="clear" w:color="auto" w:fill="EBF5FB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20"/>
              </w:rPr>
              <w:t>Adjoiners</w:t>
            </w:r>
          </w:p>
        </w:tc>
        <w:tc>
          <w:tcPr>
            <w:tcW w:type="dxa" w:w="5184"/>
            <w:shd w:val="clear" w:color="auto" w:fill="EBF5FB"/>
          </w:tcPr>
          <w:p>
            <w:r>
              <w:rPr>
                <w:sz w:val="20"/>
              </w:rPr>
              <w:t>Automatically discover all neighboring parcels via GIS spatial query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Research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Bulk-search deeds and plats for all adjoining owners in one pass</w:t>
            </w:r>
          </w:p>
        </w:tc>
      </w:tr>
      <w:tr>
        <w:tc>
          <w:tcPr>
            <w:tcW w:type="dxa" w:w="576"/>
            <w:shd w:val="clear" w:color="auto" w:fill="EBF5FB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  <w:shd w:val="clear" w:color="auto" w:fill="EBF5FB"/>
          </w:tcPr>
          <w:p>
            <w:r>
              <w:rPr>
                <w:sz w:val="20"/>
              </w:rPr>
              <w:t>Package</w:t>
            </w:r>
          </w:p>
        </w:tc>
        <w:tc>
          <w:tcPr>
            <w:tcW w:type="dxa" w:w="5184"/>
            <w:shd w:val="clear" w:color="auto" w:fill="EBF5FB"/>
          </w:tcPr>
          <w:p>
            <w:r>
              <w:rPr>
                <w:sz w:val="20"/>
              </w:rPr>
              <w:t>Compile findings, export a DXF boundary drawing, save the session</w:t>
            </w:r>
          </w:p>
        </w:tc>
      </w:tr>
    </w:tbl>
    <w:p/>
    <w:p>
      <w:r>
        <w:rPr>
          <w:b/>
          <w:color w:val="1A3A5C"/>
          <w:sz w:val="28"/>
        </w:rPr>
        <w:t>Key Capabilities at a Glance</w:t>
      </w:r>
    </w:p>
    <w:p>
      <w:pPr>
        <w:pStyle w:val="ListBullet"/>
      </w:pPr>
      <w:r>
        <w:rPr>
          <w:b/>
          <w:sz w:val="21"/>
        </w:rPr>
        <w:t xml:space="preserve">Interactive parcel map — </w:t>
      </w:r>
      <w:r>
        <w:rPr>
          <w:sz w:val="21"/>
        </w:rPr>
        <w:t>ArcGIS-integrated with water rights and NGS benchmark overlays</w:t>
      </w:r>
    </w:p>
    <w:p>
      <w:pPr>
        <w:pStyle w:val="ListBullet"/>
      </w:pPr>
      <w:r>
        <w:rPr>
          <w:b/>
          <w:sz w:val="21"/>
        </w:rPr>
        <w:t xml:space="preserve">Instant cabinet search — </w:t>
      </w:r>
      <w:r>
        <w:rPr>
          <w:sz w:val="21"/>
        </w:rPr>
        <w:t>45,000+ plat documents indexed for near-instant retrieval</w:t>
      </w:r>
    </w:p>
    <w:p>
      <w:pPr>
        <w:pStyle w:val="ListBullet"/>
      </w:pPr>
      <w:r>
        <w:rPr>
          <w:b/>
          <w:sz w:val="21"/>
        </w:rPr>
        <w:t xml:space="preserve">AI predictions — </w:t>
      </w:r>
      <w:r>
        <w:rPr>
          <w:sz w:val="21"/>
        </w:rPr>
        <w:t>ML-based job complexity, duration, and adjoiner count estimates</w:t>
      </w:r>
    </w:p>
    <w:p>
      <w:pPr>
        <w:pStyle w:val="ListBullet"/>
      </w:pPr>
      <w:r>
        <w:rPr>
          <w:b/>
          <w:sz w:val="21"/>
        </w:rPr>
        <w:t xml:space="preserve">Legal description similarity — </w:t>
      </w:r>
      <w:r>
        <w:rPr>
          <w:sz w:val="21"/>
        </w:rPr>
        <w:t>Finds prior surveys with similar boundary descriptions</w:t>
      </w:r>
    </w:p>
    <w:p>
      <w:pPr>
        <w:pStyle w:val="ListBullet"/>
      </w:pPr>
      <w:r>
        <w:rPr>
          <w:b/>
          <w:sz w:val="21"/>
        </w:rPr>
        <w:t xml:space="preserve">Nova AI chat — </w:t>
      </w:r>
      <w:r>
        <w:rPr>
          <w:sz w:val="21"/>
        </w:rPr>
        <w:t>In-app surveying assistant powered by a local language model (no cloud)</w:t>
      </w:r>
    </w:p>
    <w:p>
      <w:pPr>
        <w:pStyle w:val="ListBullet"/>
      </w:pPr>
      <w:r>
        <w:rPr>
          <w:b/>
          <w:sz w:val="21"/>
        </w:rPr>
        <w:t xml:space="preserve">Research analytics — </w:t>
      </w:r>
      <w:r>
        <w:rPr>
          <w:sz w:val="21"/>
        </w:rPr>
        <w:t>Tracks completeness scores and surfaces gaps before field visits</w:t>
      </w:r>
    </w:p>
    <w:p>
      <w:pPr>
        <w:pStyle w:val="ListBullet"/>
      </w:pPr>
      <w:r>
        <w:rPr>
          <w:b/>
          <w:sz w:val="21"/>
        </w:rPr>
        <w:t xml:space="preserve">Knowledge graph — </w:t>
      </w:r>
      <w:r>
        <w:rPr>
          <w:sz w:val="21"/>
        </w:rPr>
        <w:t>Remembers every owner, parcel, and connection across all past jobs</w:t>
      </w:r>
    </w:p>
    <w:p>
      <w:pPr>
        <w:pStyle w:val="ListBullet"/>
      </w:pPr>
      <w:r>
        <w:rPr>
          <w:b/>
          <w:sz w:val="21"/>
        </w:rPr>
        <w:t xml:space="preserve">DXF export — </w:t>
      </w:r>
      <w:r>
        <w:rPr>
          <w:sz w:val="21"/>
        </w:rPr>
        <w:t>Generates CAD-ready boundary drawings from deed calls automatically</w:t>
      </w:r>
    </w:p>
    <w:p>
      <w:pPr>
        <w:pStyle w:val="ListBullet"/>
      </w:pPr>
      <w:r>
        <w:rPr>
          <w:b/>
          <w:sz w:val="21"/>
        </w:rPr>
        <w:t xml:space="preserve">Fully local — </w:t>
      </w:r>
      <w:r>
        <w:rPr>
          <w:sz w:val="21"/>
        </w:rPr>
        <w:t>Runs on our office network — no data leaves the building</w:t>
      </w:r>
    </w:p>
    <w:p/>
    <w:p>
      <w:r>
        <w:rPr>
          <w:b/>
          <w:color w:val="1A3A5C"/>
          <w:sz w:val="28"/>
        </w:rPr>
        <w:t>Strategic Value</w:t>
      </w:r>
    </w:p>
    <w:p>
      <w:pPr>
        <w:pStyle w:val="ListBullet"/>
      </w:pPr>
      <w:r>
        <w:rPr>
          <w:b/>
          <w:sz w:val="21"/>
        </w:rPr>
        <w:t xml:space="preserve">Faster turnaround — </w:t>
      </w:r>
      <w:r>
        <w:rPr>
          <w:sz w:val="21"/>
        </w:rPr>
        <w:t>Research that took half a day can be completed in under an hour</w:t>
      </w:r>
    </w:p>
    <w:p>
      <w:pPr>
        <w:pStyle w:val="ListBullet"/>
      </w:pPr>
      <w:r>
        <w:rPr>
          <w:b/>
          <w:sz w:val="21"/>
        </w:rPr>
        <w:t xml:space="preserve">Higher quality — </w:t>
      </w:r>
      <w:r>
        <w:rPr>
          <w:sz w:val="21"/>
        </w:rPr>
        <w:t>AI-flagged anomalies and completeness scoring reduce missed findings</w:t>
      </w:r>
    </w:p>
    <w:p>
      <w:pPr>
        <w:pStyle w:val="ListBullet"/>
      </w:pPr>
      <w:r>
        <w:rPr>
          <w:b/>
          <w:sz w:val="21"/>
        </w:rPr>
        <w:t xml:space="preserve">Institutional knowledge — </w:t>
      </w:r>
      <w:r>
        <w:rPr>
          <w:sz w:val="21"/>
        </w:rPr>
        <w:t>The knowledge graph retains everything RTSI has ever researched</w:t>
      </w:r>
    </w:p>
    <w:p>
      <w:pPr>
        <w:pStyle w:val="ListBullet"/>
      </w:pPr>
      <w:r>
        <w:rPr>
          <w:b/>
          <w:sz w:val="21"/>
        </w:rPr>
        <w:t xml:space="preserve">Scalability — </w:t>
      </w:r>
      <w:r>
        <w:rPr>
          <w:sz w:val="21"/>
        </w:rPr>
        <w:t>Handle more jobs without proportional increases in research labor</w:t>
      </w:r>
    </w:p>
    <w:p>
      <w:pPr>
        <w:pStyle w:val="ListBullet"/>
      </w:pPr>
      <w:r>
        <w:rPr>
          <w:b/>
          <w:sz w:val="21"/>
        </w:rPr>
        <w:t xml:space="preserve">No recurring cost — </w:t>
      </w:r>
      <w:r>
        <w:rPr>
          <w:sz w:val="21"/>
        </w:rPr>
        <w:t>Runs locally with no subscription fees or per-query cloud charges</w:t>
      </w:r>
    </w:p>
    <w:p/>
    <w:p>
      <w:pPr>
        <w:pBdr>
          <w:bottom w:val="single" w:sz="6" w:space="1" w:color="1A3A5C"/>
        </w:pBdr>
      </w:pPr>
    </w:p>
    <w:p>
      <w:r>
        <w:rPr>
          <w:i/>
          <w:color w:val="888888"/>
          <w:sz w:val="18"/>
        </w:rPr>
        <w:t>Document prepared for internal review — Red Tail Surveying, Inc.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