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A5C"/>
          <w:sz w:val="40"/>
        </w:rPr>
        <w:t>AI Deed &amp; Plat Helper</w:t>
        <w:br/>
        <w:t>User Guide &amp; Quick Start</w:t>
      </w:r>
    </w:p>
    <w:p>
      <w:pPr>
        <w:jc w:val="center"/>
      </w:pPr>
      <w:r>
        <w:rPr>
          <w:i/>
          <w:color w:val="2E86C1"/>
          <w:sz w:val="20"/>
        </w:rPr>
        <w:t>Red Tail Surveying, Inc. | For Research Staff &amp; Project Surveyors | April 2026</w:t>
      </w:r>
    </w:p>
    <w:p/>
    <w:p>
      <w:r>
        <w:rPr>
          <w:b/>
          <w:color w:val="1A3A5C"/>
          <w:sz w:val="28"/>
        </w:rPr>
        <w:t>Getting Started</w:t>
      </w:r>
    </w:p>
    <w:p>
      <w:r>
        <w:rPr>
          <w:b/>
          <w:color w:val="2E86C1"/>
          <w:sz w:val="24"/>
        </w:rPr>
        <w:t>Accessing the Application</w:t>
      </w:r>
    </w:p>
    <w:p>
      <w:r>
        <w:rPr>
          <w:b w:val="0"/>
          <w:i w:val="0"/>
          <w:sz w:val="21"/>
        </w:rPr>
        <w:t>The AI Deed &amp; Plat Helper runs as a web application on the RTSI office network. Open any web browser on a network-connected computer and navigate to the office server address (port 5000). Ask your supervisor for the current server IP address.</w:t>
      </w:r>
    </w:p>
    <w:p>
      <w:r>
        <w:rPr>
          <w:b/>
          <w:color w:val="2E86C1"/>
          <w:sz w:val="24"/>
        </w:rPr>
        <w:t>Logging In</w:t>
      </w:r>
    </w:p>
    <w:p>
      <w:pPr>
        <w:pStyle w:val="ListBullet"/>
      </w:pPr>
      <w:r>
        <w:rPr>
          <w:sz w:val="21"/>
        </w:rPr>
        <w:t>Use your assigned RTSI staff account to log in</w:t>
      </w:r>
    </w:p>
    <w:p>
      <w:pPr>
        <w:pStyle w:val="ListBullet"/>
      </w:pPr>
      <w:r>
        <w:rPr>
          <w:sz w:val="21"/>
        </w:rPr>
        <w:t>If you don't have an account yet, contact the office administrator</w:t>
      </w:r>
    </w:p>
    <w:p>
      <w:pPr>
        <w:pStyle w:val="ListBullet"/>
      </w:pPr>
      <w:r>
        <w:rPr>
          <w:sz w:val="21"/>
        </w:rPr>
        <w:t>Your login session is saved — you will not need to log in repeatedly on the same computer</w:t>
      </w:r>
    </w:p>
    <w:p/>
    <w:p>
      <w:r>
        <w:rPr>
          <w:b/>
          <w:color w:val="1A3A5C"/>
          <w:sz w:val="28"/>
        </w:rPr>
        <w:t>The 6-Step Workflow</w:t>
      </w:r>
    </w:p>
    <w:p>
      <w:r>
        <w:rPr>
          <w:b w:val="0"/>
          <w:i w:val="0"/>
          <w:sz w:val="21"/>
        </w:rPr>
        <w:t>The tool walks you through research in a structured, step-by-step format. Each step must be completed before moving to the next. The steps are shown as a progress bar at the top of the screen.</w:t>
      </w:r>
    </w:p>
    <w:p/>
    <w:p>
      <w:r>
        <w:rPr>
          <w:b/>
          <w:color w:val="2E86C1"/>
          <w:sz w:val="24"/>
        </w:rPr>
        <w:t>Step 1 — Setup</w:t>
      </w:r>
    </w:p>
    <w:p>
      <w:r>
        <w:rPr>
          <w:b w:val="0"/>
          <w:i/>
          <w:sz w:val="21"/>
        </w:rPr>
        <w:t>Set up the job by entering the client's name, job number, and job type, then locate the parcel on the interactive map.</w:t>
      </w:r>
    </w:p>
    <w:p>
      <w:r>
        <w:rPr>
          <w:b/>
          <w:color w:val="1A3A5C"/>
          <w:sz w:val="22"/>
        </w:rPr>
        <w:t>How to complete:</w:t>
      </w:r>
    </w:p>
    <w:p>
      <w:pPr>
        <w:pStyle w:val="ListBullet"/>
      </w:pPr>
      <w:r>
        <w:rPr>
          <w:b/>
          <w:sz w:val="21"/>
        </w:rPr>
        <w:t xml:space="preserve">1. </w:t>
      </w:r>
      <w:r>
        <w:rPr>
          <w:sz w:val="21"/>
        </w:rPr>
        <w:t>Type the client's name in the name field (e.g., GARCIA, JUAN)</w:t>
      </w:r>
    </w:p>
    <w:p>
      <w:pPr>
        <w:pStyle w:val="ListBullet"/>
      </w:pPr>
      <w:r>
        <w:rPr>
          <w:b/>
          <w:sz w:val="21"/>
        </w:rPr>
        <w:t xml:space="preserve">2. </w:t>
      </w:r>
      <w:r>
        <w:rPr>
          <w:sz w:val="21"/>
        </w:rPr>
        <w:t>Enter the job number (e.g., 3001-BDY)</w:t>
      </w:r>
    </w:p>
    <w:p>
      <w:pPr>
        <w:pStyle w:val="ListBullet"/>
      </w:pPr>
      <w:r>
        <w:rPr>
          <w:b/>
          <w:sz w:val="21"/>
        </w:rPr>
        <w:t xml:space="preserve">3. </w:t>
      </w:r>
      <w:r>
        <w:rPr>
          <w:sz w:val="21"/>
        </w:rPr>
        <w:t>Select the job type from the dropdown (BDY, SUB, LLA, EAS, WR, etc.)</w:t>
      </w:r>
    </w:p>
    <w:p>
      <w:pPr>
        <w:pStyle w:val="ListBullet"/>
      </w:pPr>
      <w:r>
        <w:rPr>
          <w:b/>
          <w:sz w:val="21"/>
        </w:rPr>
        <w:t xml:space="preserve">4. </w:t>
      </w:r>
      <w:r>
        <w:rPr>
          <w:sz w:val="21"/>
        </w:rPr>
        <w:t>Click the map to locate the parcel — zoom in until you can see property boundaries</w:t>
      </w:r>
    </w:p>
    <w:p>
      <w:pPr>
        <w:pStyle w:val="ListBullet"/>
      </w:pPr>
      <w:r>
        <w:rPr>
          <w:b/>
          <w:sz w:val="21"/>
        </w:rPr>
        <w:t xml:space="preserve">5. </w:t>
      </w:r>
      <w:r>
        <w:rPr>
          <w:sz w:val="21"/>
        </w:rPr>
        <w:t>Confirm the parcel is highlighted correctly, then click Next</w:t>
      </w:r>
    </w:p>
    <w:p>
      <w:r>
        <w:rPr>
          <w:b/>
          <w:color w:val="1A3A5C"/>
          <w:sz w:val="22"/>
        </w:rPr>
        <w:t>Tips:</w:t>
      </w:r>
    </w:p>
    <w:p>
      <w:pPr>
        <w:pStyle w:val="ListBullet"/>
      </w:pPr>
      <w:r>
        <w:rPr>
          <w:sz w:val="21"/>
        </w:rPr>
        <w:t>The map shows Taos County ArcGIS parcel boundaries — zoom in more if parcels aren't visible</w:t>
      </w:r>
    </w:p>
    <w:p>
      <w:pPr>
        <w:pStyle w:val="ListBullet"/>
      </w:pPr>
      <w:r>
        <w:rPr>
          <w:sz w:val="21"/>
        </w:rPr>
        <w:t>Toggle Water Rights and NGS Benchmark overlays from the map layer controls</w:t>
      </w:r>
    </w:p>
    <w:p/>
    <w:p>
      <w:r>
        <w:rPr>
          <w:b/>
          <w:color w:val="2E86C1"/>
          <w:sz w:val="24"/>
        </w:rPr>
        <w:t>Step 2 — Client Deed</w:t>
      </w:r>
    </w:p>
    <w:p>
      <w:r>
        <w:rPr>
          <w:b w:val="0"/>
          <w:i/>
          <w:sz w:val="21"/>
        </w:rPr>
        <w:t>Search county records to find the client's current deed and extract key deed information.</w:t>
      </w:r>
    </w:p>
    <w:p>
      <w:r>
        <w:rPr>
          <w:b/>
          <w:color w:val="1A3A5C"/>
          <w:sz w:val="22"/>
        </w:rPr>
        <w:t>How to complete:</w:t>
      </w:r>
    </w:p>
    <w:p>
      <w:pPr>
        <w:pStyle w:val="ListBullet"/>
      </w:pPr>
      <w:r>
        <w:rPr>
          <w:b/>
          <w:sz w:val="21"/>
        </w:rPr>
        <w:t xml:space="preserve">1. </w:t>
      </w:r>
      <w:r>
        <w:rPr>
          <w:sz w:val="21"/>
        </w:rPr>
        <w:t>The system pre-fills a search using the client name — click Search to run it</w:t>
      </w:r>
    </w:p>
    <w:p>
      <w:pPr>
        <w:pStyle w:val="ListBullet"/>
      </w:pPr>
      <w:r>
        <w:rPr>
          <w:b/>
          <w:sz w:val="21"/>
        </w:rPr>
        <w:t xml:space="preserve">2. </w:t>
      </w:r>
      <w:r>
        <w:rPr>
          <w:sz w:val="21"/>
        </w:rPr>
        <w:t>Review results (scored by relevance — highest relevance first)</w:t>
      </w:r>
    </w:p>
    <w:p>
      <w:pPr>
        <w:pStyle w:val="ListBullet"/>
      </w:pPr>
      <w:r>
        <w:rPr>
          <w:b/>
          <w:sz w:val="21"/>
        </w:rPr>
        <w:t xml:space="preserve">3. </w:t>
      </w:r>
      <w:r>
        <w:rPr>
          <w:sz w:val="21"/>
        </w:rPr>
        <w:t>Click the best match to view the deed</w:t>
      </w:r>
    </w:p>
    <w:p>
      <w:pPr>
        <w:pStyle w:val="ListBullet"/>
      </w:pPr>
      <w:r>
        <w:rPr>
          <w:b/>
          <w:sz w:val="21"/>
        </w:rPr>
        <w:t xml:space="preserve">4. </w:t>
      </w:r>
      <w:r>
        <w:rPr>
          <w:sz w:val="21"/>
        </w:rPr>
        <w:t>The AI will automatically extract: Grantor/Grantee names, Book and page, Legal description, Recording date</w:t>
      </w:r>
    </w:p>
    <w:p>
      <w:pPr>
        <w:pStyle w:val="ListBullet"/>
      </w:pPr>
      <w:r>
        <w:rPr>
          <w:b/>
          <w:sz w:val="21"/>
        </w:rPr>
        <w:t xml:space="preserve">5. </w:t>
      </w:r>
      <w:r>
        <w:rPr>
          <w:sz w:val="21"/>
        </w:rPr>
        <w:t>Review and confirm extracted data, make corrections if needed</w:t>
      </w:r>
    </w:p>
    <w:p>
      <w:pPr>
        <w:pStyle w:val="ListBullet"/>
      </w:pPr>
      <w:r>
        <w:rPr>
          <w:b/>
          <w:sz w:val="21"/>
        </w:rPr>
        <w:t xml:space="preserve">6. </w:t>
      </w:r>
      <w:r>
        <w:rPr>
          <w:sz w:val="21"/>
        </w:rPr>
        <w:t>Click Accept Deed to save and proceed to Step 3</w:t>
      </w:r>
    </w:p>
    <w:p>
      <w:r>
        <w:rPr>
          <w:b/>
          <w:color w:val="1A3A5C"/>
          <w:sz w:val="22"/>
        </w:rPr>
        <w:t>Tips:</w:t>
      </w:r>
    </w:p>
    <w:p>
      <w:pPr>
        <w:pStyle w:val="ListBullet"/>
      </w:pPr>
      <w:r>
        <w:rPr>
          <w:sz w:val="21"/>
        </w:rPr>
        <w:t>Try searching by both grantee and grantor name if results are sparse</w:t>
      </w:r>
    </w:p>
    <w:p>
      <w:pPr>
        <w:pStyle w:val="ListBullet"/>
      </w:pPr>
      <w:r>
        <w:rPr>
          <w:sz w:val="21"/>
        </w:rPr>
        <w:t>Use chain-of-title search to trace ownership backward if needed</w:t>
      </w:r>
    </w:p>
    <w:p>
      <w:pPr>
        <w:pStyle w:val="ListBullet"/>
      </w:pPr>
      <w:r>
        <w:rPr>
          <w:sz w:val="21"/>
        </w:rPr>
        <w:t>If no deed is found, document this in the notes field and proceed</w:t>
      </w:r>
    </w:p>
    <w:p/>
    <w:p>
      <w:r>
        <w:rPr>
          <w:b/>
          <w:color w:val="2E86C1"/>
          <w:sz w:val="24"/>
        </w:rPr>
        <w:t>Step 3 — Client Plat</w:t>
      </w:r>
    </w:p>
    <w:p>
      <w:r>
        <w:rPr>
          <w:b w:val="0"/>
          <w:i/>
          <w:sz w:val="21"/>
        </w:rPr>
        <w:t>Search the RTSI plat cabinet archive to find the recorded plat for the client's property.</w:t>
      </w:r>
    </w:p>
    <w:p>
      <w:r>
        <w:rPr>
          <w:b/>
          <w:color w:val="1A3A5C"/>
          <w:sz w:val="22"/>
        </w:rPr>
        <w:t>How to complete:</w:t>
      </w:r>
    </w:p>
    <w:p>
      <w:pPr>
        <w:pStyle w:val="ListBullet"/>
      </w:pPr>
      <w:r>
        <w:rPr>
          <w:b/>
          <w:sz w:val="21"/>
        </w:rPr>
        <w:t xml:space="preserve">1. </w:t>
      </w:r>
      <w:r>
        <w:rPr>
          <w:sz w:val="21"/>
        </w:rPr>
        <w:t>The system pre-fills a search from Steps 1–2 data — click Search</w:t>
      </w:r>
    </w:p>
    <w:p>
      <w:pPr>
        <w:pStyle w:val="ListBullet"/>
      </w:pPr>
      <w:r>
        <w:rPr>
          <w:b/>
          <w:sz w:val="21"/>
        </w:rPr>
        <w:t xml:space="preserve">2. </w:t>
      </w:r>
      <w:r>
        <w:rPr>
          <w:sz w:val="21"/>
        </w:rPr>
        <w:t>The cabinet index contains 45,000+ documents — results are instant</w:t>
      </w:r>
    </w:p>
    <w:p>
      <w:pPr>
        <w:pStyle w:val="ListBullet"/>
      </w:pPr>
      <w:r>
        <w:rPr>
          <w:b/>
          <w:sz w:val="21"/>
        </w:rPr>
        <w:t xml:space="preserve">3. </w:t>
      </w:r>
      <w:r>
        <w:rPr>
          <w:sz w:val="21"/>
        </w:rPr>
        <w:t>Click any result to preview the plat PDF directly in your browser</w:t>
      </w:r>
    </w:p>
    <w:p>
      <w:pPr>
        <w:pStyle w:val="ListBullet"/>
      </w:pPr>
      <w:r>
        <w:rPr>
          <w:b/>
          <w:sz w:val="21"/>
        </w:rPr>
        <w:t xml:space="preserve">4. </w:t>
      </w:r>
      <w:r>
        <w:rPr>
          <w:sz w:val="21"/>
        </w:rPr>
        <w:t>When you find the correct plat, click Select to associate it with the job</w:t>
      </w:r>
    </w:p>
    <w:p>
      <w:pPr>
        <w:pStyle w:val="ListBullet"/>
      </w:pPr>
      <w:r>
        <w:rPr>
          <w:b/>
          <w:sz w:val="21"/>
        </w:rPr>
        <w:t xml:space="preserve">5. </w:t>
      </w:r>
      <w:r>
        <w:rPr>
          <w:sz w:val="21"/>
        </w:rPr>
        <w:t>Click Next to proceed to Step 4</w:t>
      </w:r>
    </w:p>
    <w:p>
      <w:r>
        <w:rPr>
          <w:b/>
          <w:color w:val="1A3A5C"/>
          <w:sz w:val="22"/>
        </w:rPr>
        <w:t>Tips:</w:t>
      </w:r>
    </w:p>
    <w:p>
      <w:pPr>
        <w:pStyle w:val="ListBullet"/>
      </w:pPr>
      <w:r>
        <w:rPr>
          <w:sz w:val="21"/>
        </w:rPr>
        <w:t>Search by legal description (section-township-range) if the name search returns too many results</w:t>
      </w:r>
    </w:p>
    <w:p>
      <w:pPr>
        <w:pStyle w:val="ListBullet"/>
      </w:pPr>
      <w:r>
        <w:rPr>
          <w:sz w:val="21"/>
        </w:rPr>
        <w:t>The physical cabinet is no longer needed — this index covers all cabinet files</w:t>
      </w:r>
    </w:p>
    <w:p/>
    <w:p>
      <w:r>
        <w:rPr>
          <w:b/>
          <w:color w:val="2E86C1"/>
          <w:sz w:val="24"/>
        </w:rPr>
        <w:t>Step 4 — Adjoiners</w:t>
      </w:r>
    </w:p>
    <w:p>
      <w:r>
        <w:rPr>
          <w:b w:val="0"/>
          <w:i/>
          <w:sz w:val="21"/>
        </w:rPr>
        <w:t>Identify all neighboring properties that share a boundary with the client parcel.</w:t>
      </w:r>
    </w:p>
    <w:p>
      <w:r>
        <w:rPr>
          <w:b/>
          <w:color w:val="1A3A5C"/>
          <w:sz w:val="22"/>
        </w:rPr>
        <w:t>How to complete:</w:t>
      </w:r>
    </w:p>
    <w:p>
      <w:pPr>
        <w:pStyle w:val="ListBullet"/>
      </w:pPr>
      <w:r>
        <w:rPr>
          <w:b/>
          <w:sz w:val="21"/>
        </w:rPr>
        <w:t xml:space="preserve">1. </w:t>
      </w:r>
      <w:r>
        <w:rPr>
          <w:sz w:val="21"/>
        </w:rPr>
        <w:t>Click Discover Adjoiners — the system runs a GIS spatial query automatically</w:t>
      </w:r>
    </w:p>
    <w:p>
      <w:pPr>
        <w:pStyle w:val="ListBullet"/>
      </w:pPr>
      <w:r>
        <w:rPr>
          <w:b/>
          <w:sz w:val="21"/>
        </w:rPr>
        <w:t xml:space="preserve">2. </w:t>
      </w:r>
      <w:r>
        <w:rPr>
          <w:sz w:val="21"/>
        </w:rPr>
        <w:t>Review the list of identified adjoiners (owner name and parcel ID shown)</w:t>
      </w:r>
    </w:p>
    <w:p>
      <w:pPr>
        <w:pStyle w:val="ListBullet"/>
      </w:pPr>
      <w:r>
        <w:rPr>
          <w:b/>
          <w:sz w:val="21"/>
        </w:rPr>
        <w:t xml:space="preserve">3. </w:t>
      </w:r>
      <w:r>
        <w:rPr>
          <w:sz w:val="21"/>
        </w:rPr>
        <w:t>Add any adjoiners that were missed (search by name or parcel ID)</w:t>
      </w:r>
    </w:p>
    <w:p>
      <w:pPr>
        <w:pStyle w:val="ListBullet"/>
      </w:pPr>
      <w:r>
        <w:rPr>
          <w:b/>
          <w:sz w:val="21"/>
        </w:rPr>
        <w:t xml:space="preserve">4. </w:t>
      </w:r>
      <w:r>
        <w:rPr>
          <w:sz w:val="21"/>
        </w:rPr>
        <w:t>Remove any incorrect entries</w:t>
      </w:r>
    </w:p>
    <w:p>
      <w:pPr>
        <w:pStyle w:val="ListBullet"/>
      </w:pPr>
      <w:r>
        <w:rPr>
          <w:b/>
          <w:sz w:val="21"/>
        </w:rPr>
        <w:t xml:space="preserve">5. </w:t>
      </w:r>
      <w:r>
        <w:rPr>
          <w:sz w:val="21"/>
        </w:rPr>
        <w:t>Click Confirm Adjoiners to proceed to Step 5</w:t>
      </w:r>
    </w:p>
    <w:p>
      <w:r>
        <w:rPr>
          <w:b/>
          <w:color w:val="1A3A5C"/>
          <w:sz w:val="22"/>
        </w:rPr>
        <w:t>Tips:</w:t>
      </w:r>
    </w:p>
    <w:p>
      <w:pPr>
        <w:pStyle w:val="ListBullet"/>
      </w:pPr>
      <w:r>
        <w:rPr>
          <w:sz w:val="21"/>
        </w:rPr>
        <w:t>For rural properties, also check the metes &amp; bounds description for owner names mentioned in the text</w:t>
      </w:r>
    </w:p>
    <w:p>
      <w:pPr>
        <w:pStyle w:val="ListBullet"/>
      </w:pPr>
      <w:r>
        <w:rPr>
          <w:sz w:val="21"/>
        </w:rPr>
        <w:t>All confirmed adjoiners will be researched in bulk in Step 5</w:t>
      </w:r>
    </w:p>
    <w:p/>
    <w:p>
      <w:r>
        <w:rPr>
          <w:b/>
          <w:color w:val="2E86C1"/>
          <w:sz w:val="24"/>
        </w:rPr>
        <w:t>Step 5 — Research</w:t>
      </w:r>
    </w:p>
    <w:p>
      <w:r>
        <w:rPr>
          <w:b w:val="0"/>
          <w:i/>
          <w:sz w:val="21"/>
        </w:rPr>
        <w:t>Automatically search for deeds and plats for every adjoiner identified in Step 4.</w:t>
      </w:r>
    </w:p>
    <w:p>
      <w:r>
        <w:rPr>
          <w:b/>
          <w:color w:val="1A3A5C"/>
          <w:sz w:val="22"/>
        </w:rPr>
        <w:t>How to complete:</w:t>
      </w:r>
    </w:p>
    <w:p>
      <w:pPr>
        <w:pStyle w:val="ListBullet"/>
      </w:pPr>
      <w:r>
        <w:rPr>
          <w:b/>
          <w:sz w:val="21"/>
        </w:rPr>
        <w:t xml:space="preserve">1. </w:t>
      </w:r>
      <w:r>
        <w:rPr>
          <w:sz w:val="21"/>
        </w:rPr>
        <w:t>Click Run Research — the system searches county records and cabinet index for all adjoiners simultaneously</w:t>
      </w:r>
    </w:p>
    <w:p>
      <w:pPr>
        <w:pStyle w:val="ListBullet"/>
      </w:pPr>
      <w:r>
        <w:rPr>
          <w:b/>
          <w:sz w:val="21"/>
        </w:rPr>
        <w:t xml:space="preserve">2. </w:t>
      </w:r>
      <w:r>
        <w:rPr>
          <w:sz w:val="21"/>
        </w:rPr>
        <w:t>A progress bar shows research status for each adjoiner</w:t>
      </w:r>
    </w:p>
    <w:p>
      <w:pPr>
        <w:pStyle w:val="ListBullet"/>
      </w:pPr>
      <w:r>
        <w:rPr>
          <w:b/>
          <w:sz w:val="21"/>
        </w:rPr>
        <w:t xml:space="preserve">3. </w:t>
      </w:r>
      <w:r>
        <w:rPr>
          <w:sz w:val="21"/>
        </w:rPr>
        <w:t>Review the results for each adjoiner — mark as Complete, Needs Review, or Not Found</w:t>
      </w:r>
    </w:p>
    <w:p>
      <w:pPr>
        <w:pStyle w:val="ListBullet"/>
      </w:pPr>
      <w:r>
        <w:rPr>
          <w:b/>
          <w:sz w:val="21"/>
        </w:rPr>
        <w:t xml:space="preserve">4. </w:t>
      </w:r>
      <w:r>
        <w:rPr>
          <w:sz w:val="21"/>
        </w:rPr>
        <w:t>Click any result to preview the document</w:t>
      </w:r>
    </w:p>
    <w:p>
      <w:pPr>
        <w:pStyle w:val="ListBullet"/>
      </w:pPr>
      <w:r>
        <w:rPr>
          <w:b/>
          <w:sz w:val="21"/>
        </w:rPr>
        <w:t xml:space="preserve">5. </w:t>
      </w:r>
      <w:r>
        <w:rPr>
          <w:sz w:val="21"/>
        </w:rPr>
        <w:t>Add notes as needed, then click Next when all adjoiners are addressed</w:t>
      </w:r>
    </w:p>
    <w:p>
      <w:r>
        <w:rPr>
          <w:b/>
          <w:color w:val="1A3A5C"/>
          <w:sz w:val="22"/>
        </w:rPr>
        <w:t>Tips:</w:t>
      </w:r>
    </w:p>
    <w:p>
      <w:pPr>
        <w:pStyle w:val="ListBullet"/>
      </w:pPr>
      <w:r>
        <w:rPr>
          <w:sz w:val="21"/>
        </w:rPr>
        <w:t>The AI anomaly detector will flag unusual findings — pay close attention to these alerts</w:t>
      </w:r>
    </w:p>
    <w:p>
      <w:pPr>
        <w:pStyle w:val="ListBullet"/>
      </w:pPr>
      <w:r>
        <w:rPr>
          <w:sz w:val="21"/>
        </w:rPr>
        <w:t>The legal description similarity engine will surface prior RTSI surveys with similar boundaries</w:t>
      </w:r>
    </w:p>
    <w:p>
      <w:pPr>
        <w:pStyle w:val="ListBullet"/>
      </w:pPr>
      <w:r>
        <w:rPr>
          <w:sz w:val="21"/>
        </w:rPr>
        <w:t>Missing deeds for adjoiners should be noted — do not skip them silently</w:t>
      </w:r>
    </w:p>
    <w:p/>
    <w:p>
      <w:r>
        <w:rPr>
          <w:b/>
          <w:color w:val="2E86C1"/>
          <w:sz w:val="24"/>
        </w:rPr>
        <w:t>Step 6 — Package</w:t>
      </w:r>
    </w:p>
    <w:p>
      <w:r>
        <w:rPr>
          <w:b w:val="0"/>
          <w:i/>
          <w:sz w:val="21"/>
        </w:rPr>
        <w:t>Compile the completed research into a package and generate supporting documents.</w:t>
      </w:r>
    </w:p>
    <w:p>
      <w:r>
        <w:rPr>
          <w:b/>
          <w:color w:val="1A3A5C"/>
          <w:sz w:val="22"/>
        </w:rPr>
        <w:t>How to complete:</w:t>
      </w:r>
    </w:p>
    <w:p>
      <w:pPr>
        <w:pStyle w:val="ListBullet"/>
      </w:pPr>
      <w:r>
        <w:rPr>
          <w:b/>
          <w:sz w:val="21"/>
        </w:rPr>
        <w:t xml:space="preserve">1. </w:t>
      </w:r>
      <w:r>
        <w:rPr>
          <w:sz w:val="21"/>
        </w:rPr>
        <w:t>Review the research summary — the AI assigns a completeness score to the session</w:t>
      </w:r>
    </w:p>
    <w:p>
      <w:pPr>
        <w:pStyle w:val="ListBullet"/>
      </w:pPr>
      <w:r>
        <w:rPr>
          <w:b/>
          <w:sz w:val="21"/>
        </w:rPr>
        <w:t xml:space="preserve">2. </w:t>
      </w:r>
      <w:r>
        <w:rPr>
          <w:sz w:val="21"/>
        </w:rPr>
        <w:t>If the score is below 80%, address any flagged gaps before packaging</w:t>
      </w:r>
    </w:p>
    <w:p>
      <w:pPr>
        <w:pStyle w:val="ListBullet"/>
      </w:pPr>
      <w:r>
        <w:rPr>
          <w:b/>
          <w:sz w:val="21"/>
        </w:rPr>
        <w:t xml:space="preserve">3. </w:t>
      </w:r>
      <w:r>
        <w:rPr>
          <w:sz w:val="21"/>
        </w:rPr>
        <w:t>Click Generate DXF to create a CAD-ready boundary drawing from the deed calls</w:t>
      </w:r>
    </w:p>
    <w:p>
      <w:pPr>
        <w:pStyle w:val="ListBullet"/>
      </w:pPr>
      <w:r>
        <w:rPr>
          <w:b/>
          <w:sz w:val="21"/>
        </w:rPr>
        <w:t xml:space="preserve">4. </w:t>
      </w:r>
      <w:r>
        <w:rPr>
          <w:sz w:val="21"/>
        </w:rPr>
        <w:t>Click Save Research Package to finalize and store the session</w:t>
      </w:r>
    </w:p>
    <w:p>
      <w:pPr>
        <w:pStyle w:val="ListBullet"/>
      </w:pPr>
      <w:r>
        <w:rPr>
          <w:b/>
          <w:sz w:val="21"/>
        </w:rPr>
        <w:t xml:space="preserve">5. </w:t>
      </w:r>
      <w:r>
        <w:rPr>
          <w:sz w:val="21"/>
        </w:rPr>
        <w:t>Export the DXF file and any needed deliverables</w:t>
      </w:r>
    </w:p>
    <w:p>
      <w:r>
        <w:rPr>
          <w:b/>
          <w:color w:val="1A3A5C"/>
          <w:sz w:val="22"/>
        </w:rPr>
        <w:t>Tips:</w:t>
      </w:r>
    </w:p>
    <w:p>
      <w:pPr>
        <w:pStyle w:val="ListBullet"/>
      </w:pPr>
      <w:r>
        <w:rPr>
          <w:sz w:val="21"/>
        </w:rPr>
        <w:t>The DXF boundary drawing is generated from the metes and bounds description — verify it visually</w:t>
      </w:r>
    </w:p>
    <w:p>
      <w:pPr>
        <w:pStyle w:val="ListBullet"/>
      </w:pPr>
      <w:r>
        <w:rPr>
          <w:sz w:val="21"/>
        </w:rPr>
        <w:t>Saved sessions can be reloaded at any time from the session list</w:t>
      </w:r>
    </w:p>
    <w:p/>
    <w:p>
      <w:r>
        <w:rPr>
          <w:b/>
          <w:color w:val="1A3A5C"/>
          <w:sz w:val="28"/>
        </w:rPr>
        <w:t>Nova AI Chat</w:t>
      </w:r>
    </w:p>
    <w:p>
      <w:r>
        <w:rPr>
          <w:b w:val="0"/>
          <w:i w:val="0"/>
          <w:sz w:val="21"/>
        </w:rPr>
        <w:t>At any point during your research session, click the chat bubble icon (bottom right corner) to open the Nova chat panel. Ask surveying questions in plain English at any time.</w:t>
      </w:r>
    </w:p>
    <w:p>
      <w:pPr>
        <w:pStyle w:val="ListBullet"/>
      </w:pPr>
      <w:r>
        <w:rPr>
          <w:sz w:val="21"/>
        </w:rPr>
        <w:t>What does 'S 45°30' E, 120 feet' mean in a deed call?</w:t>
      </w:r>
    </w:p>
    <w:p>
      <w:pPr>
        <w:pStyle w:val="ListBullet"/>
      </w:pPr>
      <w:r>
        <w:rPr>
          <w:sz w:val="21"/>
        </w:rPr>
        <w:t>Who are the common adjoiners for Section 14, T27N, R13E?</w:t>
      </w:r>
    </w:p>
    <w:p>
      <w:pPr>
        <w:pStyle w:val="ListBullet"/>
      </w:pPr>
      <w:r>
        <w:rPr>
          <w:sz w:val="21"/>
        </w:rPr>
        <w:t>What is a chain of title search?</w:t>
      </w:r>
    </w:p>
    <w:p>
      <w:pPr>
        <w:pStyle w:val="ListBullet"/>
      </w:pPr>
      <w:r>
        <w:rPr>
          <w:sz w:val="21"/>
        </w:rPr>
        <w:t>Show me similar past surveys to this legal description</w:t>
      </w:r>
    </w:p>
    <w:p>
      <w:r>
        <w:rPr>
          <w:b w:val="0"/>
          <w:i/>
          <w:sz w:val="21"/>
        </w:rPr>
        <w:t>Nova runs entirely on the office network — your questions and data never leave the building.</w:t>
      </w:r>
    </w:p>
    <w:p/>
    <w:p>
      <w:pPr>
        <w:pBdr>
          <w:bottom w:val="single" w:sz="6" w:space="1" w:color="1A3A5C"/>
        </w:pBdr>
      </w:pPr>
    </w:p>
    <w:p>
      <w:r>
        <w:rPr>
          <w:i/>
          <w:color w:val="888888"/>
          <w:sz w:val="18"/>
        </w:rPr>
        <w:t>Document prepared for RTSI internal training — April 2026 | Red Tail Surveying, Inc.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