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AI Capabilities Explained</w:t>
      </w:r>
    </w:p>
    <w:p>
      <w:pPr>
        <w:jc w:val="center"/>
      </w:pPr>
      <w:r>
        <w:rPr>
          <w:i/>
          <w:color w:val="2E86C1"/>
          <w:sz w:val="20"/>
        </w:rPr>
        <w:t>Red Tail Surveying, Inc. | For Staff &amp; Associates | April 2026</w:t>
      </w:r>
    </w:p>
    <w:p/>
    <w:p>
      <w:r>
        <w:rPr>
          <w:b/>
          <w:color w:val="1A3A5C"/>
          <w:sz w:val="28"/>
        </w:rPr>
        <w:t>What 'AI' Actually Means in This Tool</w:t>
      </w:r>
    </w:p>
    <w:p>
      <w:r>
        <w:rPr>
          <w:b w:val="0"/>
          <w:i w:val="0"/>
          <w:sz w:val="21"/>
        </w:rPr>
        <w:t>When we say the AI Deed &amp; Plat Helper has 'artificial intelligence,' it refers to a set of practical computer programs that have been trained on real survey data to do useful things automatically. Think of it like a very experienced research assistant that has read thousands of deeds and plats and learned to spot patterns, answer questions, and catch mistakes.</w:t>
      </w:r>
    </w:p>
    <w:p/>
    <w:p>
      <w:r>
        <w:rPr>
          <w:b/>
          <w:color w:val="2E86C1"/>
          <w:sz w:val="24"/>
        </w:rPr>
        <w:t>1. Nova — Your AI Research Assistant</w:t>
      </w:r>
    </w:p>
    <w:p>
      <w:r>
        <w:rPr>
          <w:b w:val="0"/>
          <w:i w:val="0"/>
          <w:sz w:val="21"/>
        </w:rPr>
        <w:t>Nova is a conversational assistant built into the application. You can type a question in natural language and Nova will answer it — just like texting a knowledgeable colleague.</w:t>
      </w:r>
    </w:p>
    <w:p>
      <w:r>
        <w:rPr>
          <w:b/>
          <w:color w:val="1A3A5C"/>
          <w:sz w:val="22"/>
        </w:rPr>
        <w:t>What Nova can help with:</w:t>
      </w:r>
    </w:p>
    <w:p>
      <w:pPr>
        <w:pStyle w:val="ListBullet"/>
      </w:pPr>
      <w:r>
        <w:rPr>
          <w:sz w:val="21"/>
        </w:rPr>
        <w:t>Explaining what a deed call means (e.g., 'What is N 45°30' W, 200 feet?')</w:t>
      </w:r>
    </w:p>
    <w:p>
      <w:pPr>
        <w:pStyle w:val="ListBullet"/>
      </w:pPr>
      <w:r>
        <w:rPr>
          <w:sz w:val="21"/>
        </w:rPr>
        <w:t>Answering general surveying questions</w:t>
      </w:r>
    </w:p>
    <w:p>
      <w:pPr>
        <w:pStyle w:val="ListBullet"/>
      </w:pPr>
      <w:r>
        <w:rPr>
          <w:sz w:val="21"/>
        </w:rPr>
        <w:t>Summarizing legal descriptions in plain English</w:t>
      </w:r>
    </w:p>
    <w:p>
      <w:pPr>
        <w:pStyle w:val="ListBullet"/>
      </w:pPr>
      <w:r>
        <w:rPr>
          <w:sz w:val="21"/>
        </w:rPr>
        <w:t>Suggesting next steps in your research</w:t>
      </w:r>
    </w:p>
    <w:p>
      <w:pPr>
        <w:pStyle w:val="ListBullet"/>
      </w:pPr>
      <w:r>
        <w:rPr>
          <w:sz w:val="21"/>
        </w:rPr>
        <w:t>Discussing similar past surveys that might be relevant</w:t>
      </w:r>
    </w:p>
    <w:p>
      <w:r>
        <w:rPr>
          <w:b/>
          <w:color w:val="1A3A5C"/>
          <w:sz w:val="22"/>
        </w:rPr>
        <w:t>Important:</w:t>
      </w:r>
    </w:p>
    <w:p>
      <w:pPr>
        <w:pStyle w:val="ListBullet"/>
      </w:pPr>
      <w:r>
        <w:rPr>
          <w:sz w:val="21"/>
        </w:rPr>
        <w:t>Nova runs entirely on the RTSI office network — your questions and any deed data are never sent to the internet. All processing happens locally.</w:t>
      </w:r>
    </w:p>
    <w:p/>
    <w:p>
      <w:r>
        <w:rPr>
          <w:b/>
          <w:color w:val="2E86C1"/>
          <w:sz w:val="24"/>
        </w:rPr>
        <w:t>2. Job Complexity Prediction</w:t>
      </w:r>
    </w:p>
    <w:p>
      <w:r>
        <w:rPr>
          <w:b w:val="0"/>
          <w:i w:val="0"/>
          <w:sz w:val="21"/>
        </w:rPr>
        <w:t>Before you even start researching, the AI makes educated guesses about the job based on patterns from hundreds of past RTSI surveys.</w:t>
      </w:r>
    </w:p>
    <w:p>
      <w:r>
        <w:rPr>
          <w:b/>
          <w:color w:val="1A3A5C"/>
          <w:sz w:val="22"/>
        </w:rPr>
        <w:t>What it predicts:</w:t>
      </w:r>
    </w:p>
    <w:p>
      <w:pPr>
        <w:pStyle w:val="ListBullet"/>
      </w:pPr>
      <w:r>
        <w:rPr>
          <w:sz w:val="21"/>
        </w:rPr>
        <w:t>Complexity level — Is this job simple, moderate, or complex?</w:t>
      </w:r>
    </w:p>
    <w:p>
      <w:pPr>
        <w:pStyle w:val="ListBullet"/>
      </w:pPr>
      <w:r>
        <w:rPr>
          <w:sz w:val="21"/>
        </w:rPr>
        <w:t>Expected duration — Roughly how long will research take?</w:t>
      </w:r>
    </w:p>
    <w:p>
      <w:pPr>
        <w:pStyle w:val="ListBullet"/>
      </w:pPr>
      <w:r>
        <w:rPr>
          <w:sz w:val="21"/>
        </w:rPr>
        <w:t>Adjoiner count estimate — How many neighboring property owners to expect?</w:t>
      </w:r>
    </w:p>
    <w:p>
      <w:r>
        <w:rPr>
          <w:b/>
          <w:color w:val="1A3A5C"/>
          <w:sz w:val="22"/>
        </w:rPr>
        <w:t>Why it matters:</w:t>
      </w:r>
    </w:p>
    <w:p>
      <w:pPr>
        <w:pStyle w:val="ListBullet"/>
      </w:pPr>
      <w:r>
        <w:rPr>
          <w:sz w:val="21"/>
        </w:rPr>
        <w:t>Knowing upfront that a job is 'high complexity' lets you plan accordingly — schedule more time, prioritize your workload, or flag for a senior surveyor's review.</w:t>
      </w:r>
    </w:p>
    <w:p/>
    <w:p>
      <w:r>
        <w:rPr>
          <w:b/>
          <w:color w:val="2E86C1"/>
          <w:sz w:val="24"/>
        </w:rPr>
        <w:t>3. Anomaly Detection</w:t>
      </w:r>
    </w:p>
    <w:p>
      <w:r>
        <w:rPr>
          <w:b w:val="0"/>
          <w:i w:val="0"/>
          <w:sz w:val="21"/>
        </w:rPr>
        <w:t>Anomaly detection reads through deed data and flags anything unusual — things a human researcher might overlook after reviewing many documents in a row.</w:t>
      </w:r>
    </w:p>
    <w:p>
      <w:r>
        <w:rPr>
          <w:b/>
          <w:color w:val="1A3A5C"/>
          <w:sz w:val="22"/>
        </w:rPr>
        <w:t>What it flags:</w:t>
      </w:r>
    </w:p>
    <w:p>
      <w:pPr>
        <w:pStyle w:val="ListBullet"/>
      </w:pPr>
      <w:r>
        <w:rPr>
          <w:sz w:val="21"/>
        </w:rPr>
        <w:t>Gaps in ownership — periods where no deed transfer is recorded</w:t>
      </w:r>
    </w:p>
    <w:p>
      <w:pPr>
        <w:pStyle w:val="ListBullet"/>
      </w:pPr>
      <w:r>
        <w:rPr>
          <w:sz w:val="21"/>
        </w:rPr>
        <w:t>Overlapping descriptions — two deeds covering the same or overlapping ground</w:t>
      </w:r>
    </w:p>
    <w:p>
      <w:pPr>
        <w:pStyle w:val="ListBullet"/>
      </w:pPr>
      <w:r>
        <w:rPr>
          <w:sz w:val="21"/>
        </w:rPr>
        <w:t>Unusual calls — a bearing or distance that doesn't match surrounding entries</w:t>
      </w:r>
    </w:p>
    <w:p>
      <w:pPr>
        <w:pStyle w:val="ListBullet"/>
      </w:pPr>
      <w:r>
        <w:rPr>
          <w:sz w:val="21"/>
        </w:rPr>
        <w:t>Inconsistent grantor/grantee chains</w:t>
      </w:r>
    </w:p>
    <w:p>
      <w:pPr>
        <w:pStyle w:val="ListBullet"/>
      </w:pPr>
      <w:r>
        <w:rPr>
          <w:sz w:val="21"/>
        </w:rPr>
        <w:t>Missing monuments referenced in the description</w:t>
      </w:r>
    </w:p>
    <w:p>
      <w:r>
        <w:rPr>
          <w:b/>
          <w:color w:val="1A3A5C"/>
          <w:sz w:val="22"/>
        </w:rPr>
        <w:t>Why it matters:</w:t>
      </w:r>
    </w:p>
    <w:p>
      <w:pPr>
        <w:pStyle w:val="ListBullet"/>
      </w:pPr>
      <w:r>
        <w:rPr>
          <w:sz w:val="21"/>
        </w:rPr>
        <w:t>Problems caught during research are far cheaper to resolve than problems discovered in the field.</w:t>
      </w:r>
    </w:p>
    <w:p/>
    <w:p>
      <w:r>
        <w:rPr>
          <w:b/>
          <w:color w:val="2E86C1"/>
          <w:sz w:val="24"/>
        </w:rPr>
        <w:t>4. Legal Description Similarity Search</w:t>
      </w:r>
    </w:p>
    <w:p>
      <w:r>
        <w:rPr>
          <w:b w:val="0"/>
          <w:i w:val="0"/>
          <w:sz w:val="21"/>
        </w:rPr>
        <w:t>This feature compares the legal description of your current job against every prior RTSI survey in research history, finding descriptions that are similar — even if the wording isn't identical.</w:t>
      </w:r>
    </w:p>
    <w:p>
      <w:r>
        <w:rPr>
          <w:b/>
          <w:color w:val="1A3A5C"/>
          <w:sz w:val="22"/>
        </w:rPr>
        <w:t>Example:</w:t>
      </w:r>
    </w:p>
    <w:p>
      <w:pPr>
        <w:pStyle w:val="ListBullet"/>
      </w:pPr>
      <w:r>
        <w:rPr>
          <w:sz w:val="21"/>
        </w:rPr>
        <w:t>If you're researching a property that starts at an iron pin on the north line of Tract 4, and RTSI surveyed a neighboring property 10 years ago starting from the same iron pin, the similarity engine will surface that prior survey automatically.</w:t>
      </w:r>
    </w:p>
    <w:p>
      <w:r>
        <w:rPr>
          <w:b/>
          <w:color w:val="1A3A5C"/>
          <w:sz w:val="22"/>
        </w:rPr>
        <w:t>Why it matters:</w:t>
      </w:r>
    </w:p>
    <w:p>
      <w:pPr>
        <w:pStyle w:val="ListBullet"/>
      </w:pPr>
      <w:r>
        <w:rPr>
          <w:sz w:val="21"/>
        </w:rPr>
        <w:t>Finding prior related work saves research time and often uncovers important information about the boundary.</w:t>
      </w:r>
    </w:p>
    <w:p/>
    <w:p>
      <w:r>
        <w:rPr>
          <w:b/>
          <w:color w:val="2E86C1"/>
          <w:sz w:val="24"/>
        </w:rPr>
        <w:t>5. The Knowledge Graph</w:t>
      </w:r>
    </w:p>
    <w:p>
      <w:r>
        <w:rPr>
          <w:b w:val="0"/>
          <w:i w:val="0"/>
          <w:sz w:val="21"/>
        </w:rPr>
        <w:t>The knowledge graph is a living database that remembers every property owner, parcel, deed connection, and surveying relationship that RTSI has ever researched through the system.</w:t>
      </w:r>
    </w:p>
    <w:p>
      <w:r>
        <w:rPr>
          <w:b/>
          <w:color w:val="1A3A5C"/>
          <w:sz w:val="22"/>
        </w:rPr>
        <w:t>What it contains:</w:t>
      </w:r>
    </w:p>
    <w:p>
      <w:pPr>
        <w:pStyle w:val="ListBullet"/>
      </w:pPr>
      <w:r>
        <w:rPr>
          <w:sz w:val="21"/>
        </w:rPr>
        <w:t>Every property owner name found in RTSI deed research</w:t>
      </w:r>
    </w:p>
    <w:p>
      <w:pPr>
        <w:pStyle w:val="ListBullet"/>
      </w:pPr>
      <w:r>
        <w:rPr>
          <w:sz w:val="21"/>
        </w:rPr>
        <w:t>Every parcel and how it connects to neighboring parcels</w:t>
      </w:r>
    </w:p>
    <w:p>
      <w:pPr>
        <w:pStyle w:val="ListBullet"/>
      </w:pPr>
      <w:r>
        <w:rPr>
          <w:sz w:val="21"/>
        </w:rPr>
        <w:t>Owner relationships across time (grantor to grantee chains)</w:t>
      </w:r>
    </w:p>
    <w:p>
      <w:pPr>
        <w:pStyle w:val="ListBullet"/>
      </w:pPr>
      <w:r>
        <w:rPr>
          <w:sz w:val="21"/>
        </w:rPr>
        <w:t>Which properties share boundaries</w:t>
      </w:r>
    </w:p>
    <w:p>
      <w:pPr>
        <w:pStyle w:val="ListBullet"/>
      </w:pPr>
      <w:r>
        <w:rPr>
          <w:sz w:val="21"/>
        </w:rPr>
        <w:t>Which adjoiners appear repeatedly across different jobs</w:t>
      </w:r>
    </w:p>
    <w:p>
      <w:r>
        <w:rPr>
          <w:b/>
          <w:color w:val="1A3A5C"/>
          <w:sz w:val="22"/>
        </w:rPr>
        <w:t>Why it matters:</w:t>
      </w:r>
    </w:p>
    <w:p>
      <w:pPr>
        <w:pStyle w:val="ListBullet"/>
      </w:pPr>
      <w:r>
        <w:rPr>
          <w:sz w:val="21"/>
        </w:rPr>
        <w:t>Over time, the graph becomes a powerful institutional memory that survives even if key staff members leave.</w:t>
      </w:r>
    </w:p>
    <w:p/>
    <w:p>
      <w:r>
        <w:rPr>
          <w:b/>
          <w:color w:val="2E86C1"/>
          <w:sz w:val="24"/>
        </w:rPr>
        <w:t>6. The AI Learning Pipeline</w:t>
      </w:r>
    </w:p>
    <w:p>
      <w:r>
        <w:rPr>
          <w:b w:val="0"/>
          <w:i w:val="0"/>
          <w:sz w:val="21"/>
        </w:rPr>
        <w:t>Every night, the AI system quietly reviews the day's completed research sessions and updates its models automatically.</w:t>
      </w:r>
    </w:p>
    <w:p>
      <w:r>
        <w:rPr>
          <w:b/>
          <w:color w:val="1A3A5C"/>
          <w:sz w:val="22"/>
        </w:rPr>
        <w:t>What it learns from:</w:t>
      </w:r>
    </w:p>
    <w:p>
      <w:pPr>
        <w:pStyle w:val="ListBullet"/>
      </w:pPr>
      <w:r>
        <w:rPr>
          <w:sz w:val="21"/>
        </w:rPr>
        <w:t>How complex jobs actually turned out vs. predictions</w:t>
      </w:r>
    </w:p>
    <w:p>
      <w:pPr>
        <w:pStyle w:val="ListBullet"/>
      </w:pPr>
      <w:r>
        <w:rPr>
          <w:sz w:val="21"/>
        </w:rPr>
        <w:t>Which anomalies flagged were real vs. false alarms</w:t>
      </w:r>
    </w:p>
    <w:p>
      <w:pPr>
        <w:pStyle w:val="ListBullet"/>
      </w:pPr>
      <w:r>
        <w:rPr>
          <w:sz w:val="21"/>
        </w:rPr>
        <w:t>New owner names, parcel relationships, and patterns from newly completed jobs</w:t>
      </w:r>
    </w:p>
    <w:p>
      <w:pPr>
        <w:pStyle w:val="ListBullet"/>
      </w:pPr>
      <w:r>
        <w:rPr>
          <w:sz w:val="21"/>
        </w:rPr>
        <w:t>How long different job types actually take in practice</w:t>
      </w:r>
    </w:p>
    <w:p>
      <w:r>
        <w:rPr>
          <w:b/>
          <w:color w:val="1A3A5C"/>
          <w:sz w:val="22"/>
        </w:rPr>
        <w:t>What this means for you:</w:t>
      </w:r>
    </w:p>
    <w:p>
      <w:pPr>
        <w:pStyle w:val="ListBullet"/>
      </w:pPr>
      <w:r>
        <w:rPr>
          <w:sz w:val="21"/>
        </w:rPr>
        <w:t>Over time, job predictions become more accurate, the anomaly detector improves, and the knowledge graph grows more complete. The tool gets smarter the more RTSI uses it — without anyone needing to do anything.</w:t>
      </w:r>
    </w:p>
    <w:p/>
    <w:p>
      <w:r>
        <w:rPr>
          <w:b/>
          <w:color w:val="1A3A5C"/>
          <w:sz w:val="28"/>
        </w:rPr>
        <w:t>Frequently Asked Questions</w:t>
      </w:r>
    </w:p>
    <w:p>
      <w:r>
        <w:rPr>
          <w:b/>
          <w:color w:val="1A3A5C"/>
          <w:sz w:val="21"/>
        </w:rPr>
        <w:t>Q: Do I need to know anything about AI to use this tool?</w:t>
      </w:r>
    </w:p>
    <w:p>
      <w:r>
        <w:rPr>
          <w:sz w:val="21"/>
        </w:rPr>
        <w:t>A: No. The AI features work automatically in the background. You just follow the 6-step workflow as usual. AI alerts and insights appear when relevant.</w:t>
      </w:r>
    </w:p>
    <w:p/>
    <w:p>
      <w:r>
        <w:rPr>
          <w:b/>
          <w:color w:val="1A3A5C"/>
          <w:sz w:val="21"/>
        </w:rPr>
        <w:t>Q: Can the AI make mistakes?</w:t>
      </w:r>
    </w:p>
    <w:p>
      <w:r>
        <w:rPr>
          <w:sz w:val="21"/>
        </w:rPr>
        <w:t>A: Yes. The AI is a tool, not a replacement for professional judgment. Always review AI-flagged anomalies and predictions critically. If something doesn't look right, trust your experience.</w:t>
      </w:r>
    </w:p>
    <w:p/>
    <w:p>
      <w:r>
        <w:rPr>
          <w:b/>
          <w:color w:val="1A3A5C"/>
          <w:sz w:val="21"/>
        </w:rPr>
        <w:t>Q: Does the AI have access to the internet or our client data?</w:t>
      </w:r>
    </w:p>
    <w:p>
      <w:r>
        <w:rPr>
          <w:sz w:val="21"/>
        </w:rPr>
        <w:t>A: No. Everything — the language model, the knowledge graph, the ML predictions — runs entirely on RTSI's internal network. No data leaves the building.</w:t>
      </w:r>
    </w:p>
    <w:p/>
    <w:p>
      <w:r>
        <w:rPr>
          <w:b/>
          <w:color w:val="1A3A5C"/>
          <w:sz w:val="21"/>
        </w:rPr>
        <w:t>Q: Does it get smarter over time?</w:t>
      </w:r>
    </w:p>
    <w:p>
      <w:r>
        <w:rPr>
          <w:sz w:val="21"/>
        </w:rPr>
        <w:t>A: Yes. The system is designed to learn from every completed job. The more RTSI uses it, the more accurate and useful the AI features become.</w:t>
      </w:r>
    </w:p>
    <w:p/>
    <w:p>
      <w:r>
        <w:rPr>
          <w:b/>
          <w:color w:val="1A3A5C"/>
          <w:sz w:val="21"/>
        </w:rPr>
        <w:t>Q: What happens if the AI module is unavailable?</w:t>
      </w:r>
    </w:p>
    <w:p>
      <w:r>
        <w:rPr>
          <w:sz w:val="21"/>
        </w:rPr>
        <w:t>A: The core 6-step workflow continues to function normally. The AI features degrade gracefully — the app works without AI enhancements until the service is restored.</w:t>
      </w:r>
    </w:p>
    <w:p/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Document prepared for RTSI internal training — April 2026 | Red Tail Surveying, Inc.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