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3A5C"/>
          <w:sz w:val="40"/>
        </w:rPr>
        <w:t>AI Deed &amp; Plat Helper</w:t>
        <w:br/>
        <w:t>System Architecture Overview</w:t>
      </w:r>
    </w:p>
    <w:p>
      <w:pPr>
        <w:jc w:val="center"/>
      </w:pPr>
      <w:r>
        <w:rPr>
          <w:i/>
          <w:color w:val="2E86C1"/>
          <w:sz w:val="20"/>
        </w:rPr>
        <w:t>Red Tail Surveying, Inc. | How It All Fits Together | April 2026</w:t>
      </w:r>
    </w:p>
    <w:p/>
    <w:p>
      <w:r>
        <w:rPr>
          <w:b w:val="0"/>
          <w:i w:val="0"/>
          <w:sz w:val="21"/>
        </w:rPr>
        <w:t>This document explains how the AI Deed &amp; Plat Helper is built and how its components work together. It is written for staff and management who want to understand the system — not for software developers.</w:t>
      </w:r>
    </w:p>
    <w:p/>
    <w:p>
      <w:r>
        <w:rPr>
          <w:b/>
          <w:color w:val="1A3A5C"/>
          <w:sz w:val="28"/>
        </w:rPr>
        <w:t>System Components at a Glance</w:t>
      </w:r>
    </w:p>
    <w:tbl>
      <w:tblPr>
        <w:tblStyle w:val="TableGrid"/>
        <w:tblW w:type="auto" w:w="0"/>
        <w:tblLook w:firstColumn="1" w:firstRow="1" w:lastColumn="0" w:lastRow="0" w:noHBand="0" w:noVBand="1" w:val="04A0"/>
      </w:tblPr>
      <w:tblGrid>
        <w:gridCol w:w="2928"/>
        <w:gridCol w:w="2928"/>
        <w:gridCol w:w="2928"/>
      </w:tblGrid>
      <w:tr>
        <w:tc>
          <w:tcPr>
            <w:tcW w:type="dxa" w:w="2592"/>
            <w:shd w:val="clear" w:color="auto" w:fill="1A3A5C"/>
          </w:tcPr>
          <w:p>
            <w:r>
              <w:rPr>
                <w:b/>
                <w:color w:val="FFFFFF"/>
                <w:sz w:val="20"/>
              </w:rPr>
              <w:t>Component</w:t>
            </w:r>
          </w:p>
        </w:tc>
        <w:tc>
          <w:tcPr>
            <w:tcW w:type="dxa" w:w="2592"/>
            <w:shd w:val="clear" w:color="auto" w:fill="1A3A5C"/>
          </w:tcPr>
          <w:p>
            <w:r>
              <w:rPr>
                <w:b/>
                <w:color w:val="FFFFFF"/>
                <w:sz w:val="20"/>
              </w:rPr>
              <w:t>Technology</w:t>
            </w:r>
          </w:p>
        </w:tc>
        <w:tc>
          <w:tcPr>
            <w:tcW w:type="dxa" w:w="4032"/>
            <w:shd w:val="clear" w:color="auto" w:fill="1A3A5C"/>
          </w:tcPr>
          <w:p>
            <w:r>
              <w:rPr>
                <w:b/>
                <w:color w:val="FFFFFF"/>
                <w:sz w:val="20"/>
              </w:rPr>
              <w:t>What It Does</w:t>
            </w:r>
          </w:p>
        </w:tc>
      </w:tr>
      <w:tr>
        <w:tc>
          <w:tcPr>
            <w:tcW w:type="dxa" w:w="2592"/>
          </w:tcPr>
          <w:p>
            <w:r>
              <w:rPr>
                <w:sz w:val="20"/>
              </w:rPr>
              <w:t>Your Browser (Frontend)</w:t>
            </w:r>
          </w:p>
        </w:tc>
        <w:tc>
          <w:tcPr>
            <w:tcW w:type="dxa" w:w="2592"/>
          </w:tcPr>
          <w:p>
            <w:r>
              <w:rPr>
                <w:sz w:val="20"/>
              </w:rPr>
              <w:t>Chrome / Edge / Firefox</w:t>
            </w:r>
          </w:p>
        </w:tc>
        <w:tc>
          <w:tcPr>
            <w:tcW w:type="dxa" w:w="4032"/>
          </w:tcPr>
          <w:p>
            <w:r>
              <w:rPr>
                <w:sz w:val="20"/>
              </w:rPr>
              <w:t>The interface you see — 6-step workflow, maps, PDF previews, Nova chat</w:t>
            </w:r>
          </w:p>
        </w:tc>
      </w:tr>
      <w:tr>
        <w:tc>
          <w:tcPr>
            <w:tcW w:type="dxa" w:w="2592"/>
            <w:shd w:val="clear" w:color="auto" w:fill="EBF5FB"/>
          </w:tcPr>
          <w:p>
            <w:r>
              <w:rPr>
                <w:sz w:val="20"/>
              </w:rPr>
              <w:t>Backend Server</w:t>
            </w:r>
          </w:p>
        </w:tc>
        <w:tc>
          <w:tcPr>
            <w:tcW w:type="dxa" w:w="2592"/>
            <w:shd w:val="clear" w:color="auto" w:fill="EBF5FB"/>
          </w:tcPr>
          <w:p>
            <w:r>
              <w:rPr>
                <w:sz w:val="20"/>
              </w:rPr>
              <w:t>Python / Flask (port 5000)</w:t>
            </w:r>
          </w:p>
        </w:tc>
        <w:tc>
          <w:tcPr>
            <w:tcW w:type="dxa" w:w="4032"/>
            <w:shd w:val="clear" w:color="auto" w:fill="EBF5FB"/>
          </w:tcPr>
          <w:p>
            <w:r>
              <w:rPr>
                <w:sz w:val="20"/>
              </w:rPr>
              <w:t>The engine room — handles all requests, search logic, sessions, and exports</w:t>
            </w:r>
          </w:p>
        </w:tc>
      </w:tr>
      <w:tr>
        <w:tc>
          <w:tcPr>
            <w:tcW w:type="dxa" w:w="2592"/>
          </w:tcPr>
          <w:p>
            <w:r>
              <w:rPr>
                <w:sz w:val="20"/>
              </w:rPr>
              <w:t>Cabinet Index</w:t>
            </w:r>
          </w:p>
        </w:tc>
        <w:tc>
          <w:tcPr>
            <w:tcW w:type="dxa" w:w="2592"/>
          </w:tcPr>
          <w:p>
            <w:r>
              <w:rPr>
                <w:sz w:val="20"/>
              </w:rPr>
              <w:t>JSON index (6 MB)</w:t>
            </w:r>
          </w:p>
        </w:tc>
        <w:tc>
          <w:tcPr>
            <w:tcW w:type="dxa" w:w="4032"/>
          </w:tcPr>
          <w:p>
            <w:r>
              <w:rPr>
                <w:sz w:val="20"/>
              </w:rPr>
              <w:t>45,000+ plat documents — pre-indexed for instant search</w:t>
            </w:r>
          </w:p>
        </w:tc>
      </w:tr>
      <w:tr>
        <w:tc>
          <w:tcPr>
            <w:tcW w:type="dxa" w:w="2592"/>
            <w:shd w:val="clear" w:color="auto" w:fill="EBF5FB"/>
          </w:tcPr>
          <w:p>
            <w:r>
              <w:rPr>
                <w:sz w:val="20"/>
              </w:rPr>
              <w:t>AI Module</w:t>
            </w:r>
          </w:p>
        </w:tc>
        <w:tc>
          <w:tcPr>
            <w:tcW w:type="dxa" w:w="2592"/>
            <w:shd w:val="clear" w:color="auto" w:fill="EBF5FB"/>
          </w:tcPr>
          <w:p>
            <w:r>
              <w:rPr>
                <w:sz w:val="20"/>
              </w:rPr>
              <w:t>Python ai/ package</w:t>
            </w:r>
          </w:p>
        </w:tc>
        <w:tc>
          <w:tcPr>
            <w:tcW w:type="dxa" w:w="4032"/>
            <w:shd w:val="clear" w:color="auto" w:fill="EBF5FB"/>
          </w:tcPr>
          <w:p>
            <w:r>
              <w:rPr>
                <w:sz w:val="20"/>
              </w:rPr>
              <w:t>Nova chat, ML predictions, anomaly detection, knowledge graph, similarity search</w:t>
            </w:r>
          </w:p>
        </w:tc>
      </w:tr>
      <w:tr>
        <w:tc>
          <w:tcPr>
            <w:tcW w:type="dxa" w:w="2592"/>
          </w:tcPr>
          <w:p>
            <w:r>
              <w:rPr>
                <w:sz w:val="20"/>
              </w:rPr>
              <w:t>Local Language Model</w:t>
            </w:r>
          </w:p>
        </w:tc>
        <w:tc>
          <w:tcPr>
            <w:tcW w:type="dxa" w:w="2592"/>
          </w:tcPr>
          <w:p>
            <w:r>
              <w:rPr>
                <w:sz w:val="20"/>
              </w:rPr>
              <w:t>Ollama + Mistral 7B</w:t>
            </w:r>
          </w:p>
        </w:tc>
        <w:tc>
          <w:tcPr>
            <w:tcW w:type="dxa" w:w="4032"/>
          </w:tcPr>
          <w:p>
            <w:r>
              <w:rPr>
                <w:sz w:val="20"/>
              </w:rPr>
              <w:t>Powers Nova chat and document embeddings — 100% local, no internet</w:t>
            </w:r>
          </w:p>
        </w:tc>
      </w:tr>
      <w:tr>
        <w:tc>
          <w:tcPr>
            <w:tcW w:type="dxa" w:w="2592"/>
            <w:shd w:val="clear" w:color="auto" w:fill="EBF5FB"/>
          </w:tcPr>
          <w:p>
            <w:r>
              <w:rPr>
                <w:sz w:val="20"/>
              </w:rPr>
              <w:t>Vector Database</w:t>
            </w:r>
          </w:p>
        </w:tc>
        <w:tc>
          <w:tcPr>
            <w:tcW w:type="dxa" w:w="2592"/>
            <w:shd w:val="clear" w:color="auto" w:fill="EBF5FB"/>
          </w:tcPr>
          <w:p>
            <w:r>
              <w:rPr>
                <w:sz w:val="20"/>
              </w:rPr>
              <w:t>ChromaDB</w:t>
            </w:r>
          </w:p>
        </w:tc>
        <w:tc>
          <w:tcPr>
            <w:tcW w:type="dxa" w:w="4032"/>
            <w:shd w:val="clear" w:color="auto" w:fill="EBF5FB"/>
          </w:tcPr>
          <w:p>
            <w:r>
              <w:rPr>
                <w:sz w:val="20"/>
              </w:rPr>
              <w:t>Stores legal description fingerprints for similarity search</w:t>
            </w:r>
          </w:p>
        </w:tc>
      </w:tr>
      <w:tr>
        <w:tc>
          <w:tcPr>
            <w:tcW w:type="dxa" w:w="2592"/>
          </w:tcPr>
          <w:p>
            <w:r>
              <w:rPr>
                <w:sz w:val="20"/>
              </w:rPr>
              <w:t>Survey Archive</w:t>
            </w:r>
          </w:p>
        </w:tc>
        <w:tc>
          <w:tcPr>
            <w:tcW w:type="dxa" w:w="2592"/>
          </w:tcPr>
          <w:p>
            <w:r>
              <w:rPr>
                <w:sz w:val="20"/>
              </w:rPr>
              <w:t>J: drive data</w:t>
            </w:r>
          </w:p>
        </w:tc>
        <w:tc>
          <w:tcPr>
            <w:tcW w:type="dxa" w:w="4032"/>
          </w:tcPr>
          <w:p>
            <w:r>
              <w:rPr>
                <w:sz w:val="20"/>
              </w:rPr>
              <w:t>Historical job records used to train the ML prediction models</w:t>
            </w:r>
          </w:p>
        </w:tc>
      </w:tr>
      <w:tr>
        <w:tc>
          <w:tcPr>
            <w:tcW w:type="dxa" w:w="2592"/>
            <w:shd w:val="clear" w:color="auto" w:fill="EBF5FB"/>
          </w:tcPr>
          <w:p>
            <w:r>
              <w:rPr>
                <w:sz w:val="20"/>
              </w:rPr>
              <w:t>GIS Layer</w:t>
            </w:r>
          </w:p>
        </w:tc>
        <w:tc>
          <w:tcPr>
            <w:tcW w:type="dxa" w:w="2592"/>
            <w:shd w:val="clear" w:color="auto" w:fill="EBF5FB"/>
          </w:tcPr>
          <w:p>
            <w:r>
              <w:rPr>
                <w:sz w:val="20"/>
              </w:rPr>
              <w:t>Taos County ArcGIS</w:t>
            </w:r>
          </w:p>
        </w:tc>
        <w:tc>
          <w:tcPr>
            <w:tcW w:type="dxa" w:w="4032"/>
            <w:shd w:val="clear" w:color="auto" w:fill="EBF5FB"/>
          </w:tcPr>
          <w:p>
            <w:r>
              <w:rPr>
                <w:sz w:val="20"/>
              </w:rPr>
              <w:t>Parcel boundaries, adjoiner spatial queries, parcel ID lookup</w:t>
            </w:r>
          </w:p>
        </w:tc>
      </w:tr>
    </w:tbl>
    <w:p/>
    <w:p>
      <w:r>
        <w:rPr>
          <w:b/>
          <w:color w:val="2E86C1"/>
          <w:sz w:val="24"/>
        </w:rPr>
        <w:t>Your Browser (Frontend)</w:t>
      </w:r>
    </w:p>
    <w:p>
      <w:r>
        <w:rPr>
          <w:b w:val="0"/>
          <w:i w:val="0"/>
          <w:sz w:val="21"/>
        </w:rPr>
        <w:t>The part of the application you see and interact with. Works in Chrome, Edge, or Firefox — nothing to install on your workstation.</w:t>
      </w:r>
    </w:p>
    <w:p>
      <w:r>
        <w:rPr>
          <w:b w:val="0"/>
          <w:i w:val="0"/>
          <w:sz w:val="21"/>
        </w:rPr>
        <w:t>Displays the 6-step research workflow, the interactive parcel map, search results, PDF previews, Nova AI chat, anomaly alerts, and completeness scores.</w:t>
      </w:r>
    </w:p>
    <w:p/>
    <w:p>
      <w:r>
        <w:rPr>
          <w:b/>
          <w:color w:val="2E86C1"/>
          <w:sz w:val="24"/>
        </w:rPr>
        <w:t>The Backend Server</w:t>
      </w:r>
    </w:p>
    <w:p>
      <w:r>
        <w:rPr>
          <w:b w:val="0"/>
          <w:i w:val="0"/>
          <w:sz w:val="21"/>
        </w:rPr>
        <w:t>The 'engine room' of the application — running quietly in the background on the J: drive workstation at port 5000. It must be running for the application to be accessible.</w:t>
      </w:r>
    </w:p>
    <w:p>
      <w:r>
        <w:rPr>
          <w:b w:val="0"/>
          <w:i w:val="0"/>
          <w:sz w:val="21"/>
        </w:rPr>
        <w:t>Receives requests from your browser, queries Taos County online records and the ArcGIS parcel database, searches the cabinet index, saves and loads sessions, manages user accounts, exports DXF files, and runs the autonomous research pipeline.</w:t>
      </w:r>
    </w:p>
    <w:p/>
    <w:p>
      <w:r>
        <w:rPr>
          <w:b/>
          <w:color w:val="2E86C1"/>
          <w:sz w:val="24"/>
        </w:rPr>
        <w:t>The Cabinet Index</w:t>
      </w:r>
    </w:p>
    <w:p>
      <w:r>
        <w:rPr>
          <w:b w:val="0"/>
          <w:i w:val="0"/>
          <w:sz w:val="21"/>
        </w:rPr>
        <w:t>A pre-built digital index of every plat document in the RTSI cabinet archive covering 45,000+ documents.</w:t>
      </w:r>
    </w:p>
    <w:p>
      <w:r>
        <w:rPr>
          <w:b w:val="0"/>
          <w:i w:val="0"/>
          <w:sz w:val="21"/>
        </w:rPr>
        <w:t>Rather than searching through documents one by one, the cabinet index is like a book's index — you look up a name and it instantly tells you exactly where to find the document. Results appear in under 1 second.</w:t>
      </w:r>
    </w:p>
    <w:p>
      <w:r>
        <w:rPr>
          <w:b w:val="0"/>
          <w:i w:val="0"/>
          <w:sz w:val="21"/>
        </w:rPr>
        <w:t>The index is rebuilt automatically each night by the batch maintenance script when new documents are added.</w:t>
      </w:r>
    </w:p>
    <w:p/>
    <w:p>
      <w:r>
        <w:rPr>
          <w:b/>
          <w:color w:val="2E86C1"/>
          <w:sz w:val="24"/>
        </w:rPr>
        <w:t>The AI Module</w:t>
      </w:r>
    </w:p>
    <w:p>
      <w:r>
        <w:rPr>
          <w:b w:val="0"/>
          <w:i w:val="0"/>
          <w:sz w:val="21"/>
        </w:rPr>
        <w:t>A collection of AI programs that add intelligence to the core research workflow: Nova chat assistant, ML job complexity predictor, anomaly detector, legal description similarity search, and the knowledge graph.</w:t>
      </w:r>
    </w:p>
    <w:p>
      <w:r>
        <w:rPr>
          <w:b w:val="0"/>
          <w:i w:val="0"/>
          <w:sz w:val="21"/>
        </w:rPr>
        <w:t>The AI module runs as part of the backend server. It communicates with the local Ollama language model for chat and embeddings, and with ChromaDB for similarity searches.</w:t>
      </w:r>
    </w:p>
    <w:p/>
    <w:p>
      <w:r>
        <w:rPr>
          <w:b/>
          <w:color w:val="2E86C1"/>
          <w:sz w:val="24"/>
        </w:rPr>
        <w:t>Local AI Models (Ollama + Mistral 7B)</w:t>
      </w:r>
    </w:p>
    <w:p>
      <w:r>
        <w:rPr>
          <w:b w:val="0"/>
          <w:i w:val="0"/>
          <w:sz w:val="21"/>
        </w:rPr>
        <w:t>A locally-installed language model — the same type of AI that powers ChatGPT, but running entirely on RTSI's own computer with no internet connection required.</w:t>
      </w:r>
    </w:p>
    <w:p>
      <w:r>
        <w:rPr>
          <w:b w:val="0"/>
          <w:i w:val="0"/>
          <w:sz w:val="21"/>
        </w:rPr>
        <w:t>Privacy: No deed data, client names, or legal descriptions are ever sent to the internet. Cost: No per-query fees. Speed: Responses come back in seconds. Reliability: Works even if the internet is down.</w:t>
      </w:r>
    </w:p>
    <w:p/>
    <w:p>
      <w:r>
        <w:rPr>
          <w:b/>
          <w:color w:val="2E86C1"/>
          <w:sz w:val="24"/>
        </w:rPr>
        <w:t>The Survey Archive (Training Data)</w:t>
      </w:r>
    </w:p>
    <w:p>
      <w:r>
        <w:rPr>
          <w:b w:val="0"/>
          <w:i w:val="0"/>
          <w:sz w:val="21"/>
        </w:rPr>
        <w:t>The historical record of past RTSI survey jobs, used to train the AI's prediction models. On a nightly schedule, the AI bootstrap script scans past job records and uses them to train the machine learning models.</w:t>
      </w:r>
    </w:p>
    <w:p>
      <w:r>
        <w:rPr>
          <w:b w:val="0"/>
          <w:i w:val="0"/>
          <w:sz w:val="21"/>
        </w:rPr>
        <w:t>This is how the AI knows what a 'complex' vs. 'simple' job looks like — it has learned from RTSI's own history.</w:t>
      </w:r>
    </w:p>
    <w:p/>
    <w:p>
      <w:r>
        <w:rPr>
          <w:b/>
          <w:color w:val="1A3A5C"/>
          <w:sz w:val="28"/>
        </w:rPr>
        <w:t>Data Flow: A Typical Search</w:t>
      </w:r>
    </w:p>
    <w:p>
      <w:pPr>
        <w:pStyle w:val="ListBullet"/>
      </w:pPr>
      <w:r>
        <w:rPr>
          <w:b/>
          <w:sz w:val="21"/>
        </w:rPr>
        <w:t xml:space="preserve">1. </w:t>
      </w:r>
      <w:r>
        <w:rPr>
          <w:sz w:val="21"/>
        </w:rPr>
        <w:t>You type a client name and click Search</w:t>
      </w:r>
    </w:p>
    <w:p>
      <w:pPr>
        <w:pStyle w:val="ListBullet"/>
      </w:pPr>
      <w:r>
        <w:rPr>
          <w:b/>
          <w:sz w:val="21"/>
        </w:rPr>
        <w:t xml:space="preserve">2. </w:t>
      </w:r>
      <w:r>
        <w:rPr>
          <w:sz w:val="21"/>
        </w:rPr>
        <w:t>Browser sends a request to the backend server</w:t>
      </w:r>
    </w:p>
    <w:p>
      <w:pPr>
        <w:pStyle w:val="ListBullet"/>
      </w:pPr>
      <w:r>
        <w:rPr>
          <w:b/>
          <w:sz w:val="21"/>
        </w:rPr>
        <w:t xml:space="preserve">3. </w:t>
      </w:r>
      <w:r>
        <w:rPr>
          <w:sz w:val="21"/>
        </w:rPr>
        <w:t>Backend queries 1st NM Title county records portal</w:t>
      </w:r>
    </w:p>
    <w:p>
      <w:pPr>
        <w:pStyle w:val="ListBullet"/>
      </w:pPr>
      <w:r>
        <w:rPr>
          <w:b/>
          <w:sz w:val="21"/>
        </w:rPr>
        <w:t xml:space="preserve">4. </w:t>
      </w:r>
      <w:r>
        <w:rPr>
          <w:sz w:val="21"/>
        </w:rPr>
        <w:t>Results come back and are scored by the AI relevance engine</w:t>
      </w:r>
    </w:p>
    <w:p>
      <w:pPr>
        <w:pStyle w:val="ListBullet"/>
      </w:pPr>
      <w:r>
        <w:rPr>
          <w:b/>
          <w:sz w:val="21"/>
        </w:rPr>
        <w:t xml:space="preserve">5. </w:t>
      </w:r>
      <w:r>
        <w:rPr>
          <w:sz w:val="21"/>
        </w:rPr>
        <w:t>Ranked results appear in your browser</w:t>
      </w:r>
    </w:p>
    <w:p>
      <w:pPr>
        <w:pStyle w:val="ListBullet"/>
      </w:pPr>
      <w:r>
        <w:rPr>
          <w:b/>
          <w:sz w:val="21"/>
        </w:rPr>
        <w:t xml:space="preserve">6. </w:t>
      </w:r>
      <w:r>
        <w:rPr>
          <w:sz w:val="21"/>
        </w:rPr>
        <w:t>You click a deed — backend fetches the PDF</w:t>
      </w:r>
    </w:p>
    <w:p>
      <w:pPr>
        <w:pStyle w:val="ListBullet"/>
      </w:pPr>
      <w:r>
        <w:rPr>
          <w:b/>
          <w:sz w:val="21"/>
        </w:rPr>
        <w:t xml:space="preserve">7. </w:t>
      </w:r>
      <w:r>
        <w:rPr>
          <w:sz w:val="21"/>
        </w:rPr>
        <w:t>AI extracts grantor, grantee, legal description automatically</w:t>
      </w:r>
    </w:p>
    <w:p>
      <w:pPr>
        <w:pStyle w:val="ListBullet"/>
      </w:pPr>
      <w:r>
        <w:rPr>
          <w:b/>
          <w:sz w:val="21"/>
        </w:rPr>
        <w:t xml:space="preserve">8. </w:t>
      </w:r>
      <w:r>
        <w:rPr>
          <w:sz w:val="21"/>
        </w:rPr>
        <w:t>You confirm the data — it is saved to your session</w:t>
      </w:r>
    </w:p>
    <w:p>
      <w:pPr>
        <w:pStyle w:val="ListBullet"/>
      </w:pPr>
      <w:r>
        <w:rPr>
          <w:b/>
          <w:sz w:val="21"/>
        </w:rPr>
        <w:t xml:space="preserve">9. </w:t>
      </w:r>
      <w:r>
        <w:rPr>
          <w:sz w:val="21"/>
        </w:rPr>
        <w:t>Session is saved to the server and accessible by all team members</w:t>
      </w:r>
    </w:p>
    <w:p/>
    <w:p>
      <w:r>
        <w:rPr>
          <w:b/>
          <w:color w:val="1A3A5C"/>
          <w:sz w:val="28"/>
        </w:rPr>
        <w:t>Data Security &amp; Privacy</w:t>
      </w:r>
    </w:p>
    <w:tbl>
      <w:tblPr>
        <w:tblStyle w:val="TableGrid"/>
        <w:tblW w:type="auto" w:w="0"/>
        <w:tblLook w:firstColumn="1" w:firstRow="1" w:lastColumn="0" w:lastRow="0" w:noHBand="0" w:noVBand="1" w:val="04A0"/>
      </w:tblPr>
      <w:tblGrid>
        <w:gridCol w:w="4392"/>
        <w:gridCol w:w="4392"/>
      </w:tblGrid>
      <w:tr>
        <w:tc>
          <w:tcPr>
            <w:tcW w:type="dxa" w:w="3168"/>
            <w:shd w:val="clear" w:color="auto" w:fill="1A3A5C"/>
          </w:tcPr>
          <w:p>
            <w:r>
              <w:rPr>
                <w:b/>
                <w:color w:val="FFFFFF"/>
                <w:sz w:val="20"/>
              </w:rPr>
              <w:t>Concern</w:t>
            </w:r>
          </w:p>
        </w:tc>
        <w:tc>
          <w:tcPr>
            <w:tcW w:type="dxa" w:w="5472"/>
            <w:shd w:val="clear" w:color="auto" w:fill="1A3A5C"/>
          </w:tcPr>
          <w:p>
            <w:r>
              <w:rPr>
                <w:b/>
                <w:color w:val="FFFFFF"/>
                <w:sz w:val="20"/>
              </w:rPr>
              <w:t>How It's Handled</w:t>
            </w:r>
          </w:p>
        </w:tc>
      </w:tr>
      <w:tr>
        <w:tc>
          <w:tcPr>
            <w:tcW w:type="dxa" w:w="3168"/>
          </w:tcPr>
          <w:p>
            <w:r>
              <w:rPr>
                <w:sz w:val="20"/>
              </w:rPr>
              <w:t>Client deed data</w:t>
            </w:r>
          </w:p>
        </w:tc>
        <w:tc>
          <w:tcPr>
            <w:tcW w:type="dxa" w:w="5472"/>
          </w:tcPr>
          <w:p>
            <w:r>
              <w:rPr>
                <w:sz w:val="20"/>
              </w:rPr>
              <w:t>Never sent to the internet — stays on RTSI LAN</w:t>
            </w:r>
          </w:p>
        </w:tc>
      </w:tr>
      <w:tr>
        <w:tc>
          <w:tcPr>
            <w:tcW w:type="dxa" w:w="3168"/>
            <w:shd w:val="clear" w:color="auto" w:fill="EBF5FB"/>
          </w:tcPr>
          <w:p>
            <w:r>
              <w:rPr>
                <w:sz w:val="20"/>
              </w:rPr>
              <w:t>Passwords</w:t>
            </w:r>
          </w:p>
        </w:tc>
        <w:tc>
          <w:tcPr>
            <w:tcW w:type="dxa" w:w="5472"/>
            <w:shd w:val="clear" w:color="auto" w:fill="EBF5FB"/>
          </w:tcPr>
          <w:p>
            <w:r>
              <w:rPr>
                <w:sz w:val="20"/>
              </w:rPr>
              <w:t>Stored as encrypted hashes (bcrypt) — never readable</w:t>
            </w:r>
          </w:p>
        </w:tc>
      </w:tr>
      <w:tr>
        <w:tc>
          <w:tcPr>
            <w:tcW w:type="dxa" w:w="3168"/>
          </w:tcPr>
          <w:p>
            <w:r>
              <w:rPr>
                <w:sz w:val="20"/>
              </w:rPr>
              <w:t>AI conversations (Nova)</w:t>
            </w:r>
          </w:p>
        </w:tc>
        <w:tc>
          <w:tcPr>
            <w:tcW w:type="dxa" w:w="5472"/>
          </w:tcPr>
          <w:p>
            <w:r>
              <w:rPr>
                <w:sz w:val="20"/>
              </w:rPr>
              <w:t>Processed locally by Ollama — no external API calls</w:t>
            </w:r>
          </w:p>
        </w:tc>
      </w:tr>
      <w:tr>
        <w:tc>
          <w:tcPr>
            <w:tcW w:type="dxa" w:w="3168"/>
            <w:shd w:val="clear" w:color="auto" w:fill="EBF5FB"/>
          </w:tcPr>
          <w:p>
            <w:r>
              <w:rPr>
                <w:sz w:val="20"/>
              </w:rPr>
              <w:t>Session data</w:t>
            </w:r>
          </w:p>
        </w:tc>
        <w:tc>
          <w:tcPr>
            <w:tcW w:type="dxa" w:w="5472"/>
            <w:shd w:val="clear" w:color="auto" w:fill="EBF5FB"/>
          </w:tcPr>
          <w:p>
            <w:r>
              <w:rPr>
                <w:sz w:val="20"/>
              </w:rPr>
              <w:t>Stored on the J: drive server — backed up with regular RTSI procedures</w:t>
            </w:r>
          </w:p>
        </w:tc>
      </w:tr>
      <w:tr>
        <w:tc>
          <w:tcPr>
            <w:tcW w:type="dxa" w:w="3168"/>
          </w:tcPr>
          <w:p>
            <w:r>
              <w:rPr>
                <w:sz w:val="20"/>
              </w:rPr>
              <w:t>External access</w:t>
            </w:r>
          </w:p>
        </w:tc>
        <w:tc>
          <w:tcPr>
            <w:tcW w:type="dxa" w:w="5472"/>
          </w:tcPr>
          <w:p>
            <w:r>
              <w:rPr>
                <w:sz w:val="20"/>
              </w:rPr>
              <w:t>App is LAN-only by default — not accessible from outside without VPN</w:t>
            </w:r>
          </w:p>
        </w:tc>
      </w:tr>
    </w:tbl>
    <w:p/>
    <w:p>
      <w:r>
        <w:rPr>
          <w:b/>
          <w:color w:val="1A3A5C"/>
          <w:sz w:val="28"/>
        </w:rPr>
        <w:t>Who Maintains What</w:t>
      </w:r>
    </w:p>
    <w:tbl>
      <w:tblPr>
        <w:tblStyle w:val="TableGrid"/>
        <w:tblW w:type="auto" w:w="0"/>
        <w:tblLook w:firstColumn="1" w:firstRow="1" w:lastColumn="0" w:lastRow="0" w:noHBand="0" w:noVBand="1" w:val="04A0"/>
      </w:tblPr>
      <w:tblGrid>
        <w:gridCol w:w="4392"/>
        <w:gridCol w:w="4392"/>
      </w:tblGrid>
      <w:tr>
        <w:tc>
          <w:tcPr>
            <w:tcW w:type="dxa" w:w="3600"/>
            <w:shd w:val="clear" w:color="auto" w:fill="1A3A5C"/>
          </w:tcPr>
          <w:p>
            <w:r>
              <w:rPr>
                <w:b/>
                <w:color w:val="FFFFFF"/>
                <w:sz w:val="20"/>
              </w:rPr>
              <w:t>Component</w:t>
            </w:r>
          </w:p>
        </w:tc>
        <w:tc>
          <w:tcPr>
            <w:tcW w:type="dxa" w:w="5040"/>
            <w:shd w:val="clear" w:color="auto" w:fill="1A3A5C"/>
          </w:tcPr>
          <w:p>
            <w:r>
              <w:rPr>
                <w:b/>
                <w:color w:val="FFFFFF"/>
                <w:sz w:val="20"/>
              </w:rPr>
              <w:t>Responsibility</w:t>
            </w:r>
          </w:p>
        </w:tc>
      </w:tr>
      <w:tr>
        <w:tc>
          <w:tcPr>
            <w:tcW w:type="dxa" w:w="3600"/>
          </w:tcPr>
          <w:p>
            <w:r>
              <w:rPr>
                <w:sz w:val="20"/>
              </w:rPr>
              <w:t>Backend server (start/stop)</w:t>
            </w:r>
          </w:p>
        </w:tc>
        <w:tc>
          <w:tcPr>
            <w:tcW w:type="dxa" w:w="5040"/>
          </w:tcPr>
          <w:p>
            <w:r>
              <w:rPr>
                <w:sz w:val="20"/>
              </w:rPr>
              <w:t>Office administrator or designated tech lead</w:t>
            </w:r>
          </w:p>
        </w:tc>
      </w:tr>
      <w:tr>
        <w:tc>
          <w:tcPr>
            <w:tcW w:type="dxa" w:w="3600"/>
            <w:shd w:val="clear" w:color="auto" w:fill="EBF5FB"/>
          </w:tcPr>
          <w:p>
            <w:r>
              <w:rPr>
                <w:sz w:val="20"/>
              </w:rPr>
              <w:t>Cabinet index rebuild</w:t>
            </w:r>
          </w:p>
        </w:tc>
        <w:tc>
          <w:tcPr>
            <w:tcW w:type="dxa" w:w="5040"/>
            <w:shd w:val="clear" w:color="auto" w:fill="EBF5FB"/>
          </w:tcPr>
          <w:p>
            <w:r>
              <w:rPr>
                <w:sz w:val="20"/>
              </w:rPr>
              <w:t>Automated nightly — manual trigger also available</w:t>
            </w:r>
          </w:p>
        </w:tc>
      </w:tr>
      <w:tr>
        <w:tc>
          <w:tcPr>
            <w:tcW w:type="dxa" w:w="3600"/>
          </w:tcPr>
          <w:p>
            <w:r>
              <w:rPr>
                <w:sz w:val="20"/>
              </w:rPr>
              <w:t>ML model updates</w:t>
            </w:r>
          </w:p>
        </w:tc>
        <w:tc>
          <w:tcPr>
            <w:tcW w:type="dxa" w:w="5040"/>
          </w:tcPr>
          <w:p>
            <w:r>
              <w:rPr>
                <w:sz w:val="20"/>
              </w:rPr>
              <w:t>Automated nightly learning pipeline</w:t>
            </w:r>
          </w:p>
        </w:tc>
      </w:tr>
      <w:tr>
        <w:tc>
          <w:tcPr>
            <w:tcW w:type="dxa" w:w="3600"/>
            <w:shd w:val="clear" w:color="auto" w:fill="EBF5FB"/>
          </w:tcPr>
          <w:p>
            <w:r>
              <w:rPr>
                <w:sz w:val="20"/>
              </w:rPr>
              <w:t>User account management</w:t>
            </w:r>
          </w:p>
        </w:tc>
        <w:tc>
          <w:tcPr>
            <w:tcW w:type="dxa" w:w="5040"/>
            <w:shd w:val="clear" w:color="auto" w:fill="EBF5FB"/>
          </w:tcPr>
          <w:p>
            <w:r>
              <w:rPr>
                <w:sz w:val="20"/>
              </w:rPr>
              <w:t>Office administrator via the admin panel</w:t>
            </w:r>
          </w:p>
        </w:tc>
      </w:tr>
      <w:tr>
        <w:tc>
          <w:tcPr>
            <w:tcW w:type="dxa" w:w="3600"/>
          </w:tcPr>
          <w:p>
            <w:r>
              <w:rPr>
                <w:sz w:val="20"/>
              </w:rPr>
              <w:t>Software updates</w:t>
            </w:r>
          </w:p>
        </w:tc>
        <w:tc>
          <w:tcPr>
            <w:tcW w:type="dxa" w:w="5040"/>
          </w:tcPr>
          <w:p>
            <w:r>
              <w:rPr>
                <w:sz w:val="20"/>
              </w:rPr>
              <w:t>Project developer — coordinated with RTSI management</w:t>
            </w:r>
          </w:p>
        </w:tc>
      </w:tr>
    </w:tbl>
    <w:p/>
    <w:p>
      <w:pPr>
        <w:pBdr>
          <w:bottom w:val="single" w:sz="6" w:space="1" w:color="1A3A5C"/>
        </w:pBdr>
      </w:pPr>
    </w:p>
    <w:p>
      <w:r>
        <w:rPr>
          <w:i/>
          <w:color w:val="888888"/>
          <w:sz w:val="18"/>
        </w:rPr>
        <w:t>Red Tail Surveying, Inc. | Taos County, NM | April 2026 | Internal reference only.</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