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0"/>
        </w:rPr>
        <w:t>AI Deed &amp; Plat Helper</w:t>
        <w:br/>
        <w:t>Roadmap &amp; Future Features</w:t>
      </w:r>
    </w:p>
    <w:p>
      <w:pPr>
        <w:jc w:val="center"/>
      </w:pPr>
      <w:r>
        <w:rPr>
          <w:i/>
          <w:color w:val="2E86C1"/>
          <w:sz w:val="20"/>
        </w:rPr>
        <w:t>Red Tail Surveying, Inc. | Where We're Going | April 2026</w:t>
      </w:r>
    </w:p>
    <w:p/>
    <w:p>
      <w:r>
        <w:rPr>
          <w:b w:val="0"/>
          <w:i w:val="0"/>
          <w:sz w:val="21"/>
        </w:rPr>
        <w:t>The AI Deed &amp; Plat Helper is a living system — it gets smarter, faster, and more capable with every job completed and every update deployed. This document describes what has been built, what is coming next, and where the system is heading over the next 12–18 months.</w:t>
      </w:r>
    </w:p>
    <w:p/>
    <w:p>
      <w:r>
        <w:rPr>
          <w:b/>
          <w:color w:val="1A3A5C"/>
          <w:sz w:val="28"/>
        </w:rPr>
        <w:t>What Is Already Built (April 2026)</w:t>
      </w:r>
    </w:p>
    <w:p>
      <w:r>
        <w:rPr>
          <w:b w:val="0"/>
          <w:i w:val="0"/>
          <w:sz w:val="21"/>
        </w:rPr>
        <w:t>The core system is fully operational. The following features are live and working on the RTSI office network:</w:t>
      </w:r>
    </w:p>
    <w:p>
      <w:r>
        <w:rPr>
          <w:b/>
          <w:color w:val="2E86C1"/>
          <w:sz w:val="24"/>
        </w:rPr>
        <w:t>Research Workflow</w:t>
      </w:r>
    </w:p>
    <w:p>
      <w:pPr>
        <w:pStyle w:val="ListBullet"/>
      </w:pPr>
      <w:r>
        <w:rPr>
          <w:sz w:val="21"/>
        </w:rPr>
        <w:t>6-step guided research workflow (Setup through Package)</w:t>
      </w:r>
    </w:p>
    <w:p>
      <w:pPr>
        <w:pStyle w:val="ListBullet"/>
      </w:pPr>
      <w:r>
        <w:rPr>
          <w:sz w:val="21"/>
        </w:rPr>
        <w:t>County records search with AI relevance scoring</w:t>
      </w:r>
    </w:p>
    <w:p>
      <w:pPr>
        <w:pStyle w:val="ListBullet"/>
      </w:pPr>
      <w:r>
        <w:rPr>
          <w:sz w:val="21"/>
        </w:rPr>
        <w:t>Chain of title search</w:t>
      </w:r>
    </w:p>
    <w:p>
      <w:pPr>
        <w:pStyle w:val="ListBullet"/>
      </w:pPr>
      <w:r>
        <w:rPr>
          <w:sz w:val="21"/>
        </w:rPr>
        <w:t>Research session save/load and team sharing</w:t>
      </w:r>
    </w:p>
    <w:p>
      <w:pPr>
        <w:pStyle w:val="ListBullet"/>
      </w:pPr>
      <w:r>
        <w:rPr>
          <w:sz w:val="21"/>
        </w:rPr>
        <w:t>Session completeness scoring (AI-verified)</w:t>
      </w:r>
    </w:p>
    <w:p>
      <w:r>
        <w:rPr>
          <w:b/>
          <w:color w:val="2E86C1"/>
          <w:sz w:val="24"/>
        </w:rPr>
        <w:t>Cabinet Plat System</w:t>
      </w:r>
    </w:p>
    <w:p>
      <w:pPr>
        <w:pStyle w:val="ListBullet"/>
      </w:pPr>
      <w:r>
        <w:rPr>
          <w:sz w:val="21"/>
        </w:rPr>
        <w:t>45,000+ document digital cabinet index</w:t>
      </w:r>
    </w:p>
    <w:p>
      <w:pPr>
        <w:pStyle w:val="ListBullet"/>
      </w:pPr>
      <w:r>
        <w:rPr>
          <w:sz w:val="21"/>
        </w:rPr>
        <w:t>Instant search (under 1 second)</w:t>
      </w:r>
    </w:p>
    <w:p>
      <w:pPr>
        <w:pStyle w:val="ListBullet"/>
      </w:pPr>
      <w:r>
        <w:rPr>
          <w:sz w:val="21"/>
        </w:rPr>
        <w:t>In-browser PDF preview</w:t>
      </w:r>
    </w:p>
    <w:p>
      <w:pPr>
        <w:pStyle w:val="ListBullet"/>
      </w:pPr>
      <w:r>
        <w:rPr>
          <w:sz w:val="21"/>
        </w:rPr>
        <w:t>Automated overnight OCR processing for new documents</w:t>
      </w:r>
    </w:p>
    <w:p>
      <w:r>
        <w:rPr>
          <w:b/>
          <w:color w:val="2E86C1"/>
          <w:sz w:val="24"/>
        </w:rPr>
        <w:t>Map &amp; Spatial Tools</w:t>
      </w:r>
    </w:p>
    <w:p>
      <w:pPr>
        <w:pStyle w:val="ListBullet"/>
      </w:pPr>
      <w:r>
        <w:rPr>
          <w:sz w:val="21"/>
        </w:rPr>
        <w:t>ArcGIS-integrated interactive parcel map</w:t>
      </w:r>
    </w:p>
    <w:p>
      <w:pPr>
        <w:pStyle w:val="ListBullet"/>
      </w:pPr>
      <w:r>
        <w:rPr>
          <w:sz w:val="21"/>
        </w:rPr>
        <w:t>Automatic adjoiner discovery via GIS spatial query</w:t>
      </w:r>
    </w:p>
    <w:p>
      <w:pPr>
        <w:pStyle w:val="ListBullet"/>
      </w:pPr>
      <w:r>
        <w:rPr>
          <w:sz w:val="21"/>
        </w:rPr>
        <w:t>Water rights overlay (NM OSE) and NGS benchmark overlay</w:t>
      </w:r>
    </w:p>
    <w:p>
      <w:pPr>
        <w:pStyle w:val="ListBullet"/>
      </w:pPr>
      <w:r>
        <w:rPr>
          <w:sz w:val="21"/>
        </w:rPr>
        <w:t>KML/KMZ file import and rendering</w:t>
      </w:r>
    </w:p>
    <w:p>
      <w:r>
        <w:rPr>
          <w:b/>
          <w:color w:val="2E86C1"/>
          <w:sz w:val="24"/>
        </w:rPr>
        <w:t>AI Capabilities</w:t>
      </w:r>
    </w:p>
    <w:p>
      <w:pPr>
        <w:pStyle w:val="ListBullet"/>
      </w:pPr>
      <w:r>
        <w:rPr>
          <w:sz w:val="21"/>
        </w:rPr>
        <w:t>Nova AI chat assistant (local, no cloud)</w:t>
      </w:r>
    </w:p>
    <w:p>
      <w:pPr>
        <w:pStyle w:val="ListBullet"/>
      </w:pPr>
      <w:r>
        <w:rPr>
          <w:sz w:val="21"/>
        </w:rPr>
        <w:t>Job complexity and duration prediction (ML)</w:t>
      </w:r>
    </w:p>
    <w:p>
      <w:pPr>
        <w:pStyle w:val="ListBullet"/>
      </w:pPr>
      <w:r>
        <w:rPr>
          <w:sz w:val="21"/>
        </w:rPr>
        <w:t>Anomaly detection — flags deed data inconsistencies</w:t>
      </w:r>
    </w:p>
    <w:p>
      <w:pPr>
        <w:pStyle w:val="ListBullet"/>
      </w:pPr>
      <w:r>
        <w:rPr>
          <w:sz w:val="21"/>
        </w:rPr>
        <w:t>Legal description similarity search</w:t>
      </w:r>
    </w:p>
    <w:p>
      <w:pPr>
        <w:pStyle w:val="ListBullet"/>
      </w:pPr>
      <w:r>
        <w:rPr>
          <w:sz w:val="21"/>
        </w:rPr>
        <w:t>Knowledge graph — persistent property/owner database</w:t>
      </w:r>
    </w:p>
    <w:p>
      <w:pPr>
        <w:pStyle w:val="ListBullet"/>
      </w:pPr>
      <w:r>
        <w:rPr>
          <w:sz w:val="21"/>
        </w:rPr>
        <w:t>Nightly AI learning pipeline — models improve automatically</w:t>
      </w:r>
    </w:p>
    <w:p>
      <w:r>
        <w:rPr>
          <w:b/>
          <w:color w:val="2E86C1"/>
          <w:sz w:val="24"/>
        </w:rPr>
        <w:t>Infrastructure</w:t>
      </w:r>
    </w:p>
    <w:p>
      <w:pPr>
        <w:pStyle w:val="ListBullet"/>
      </w:pPr>
      <w:r>
        <w:rPr>
          <w:sz w:val="21"/>
        </w:rPr>
        <w:t>User authentication and team management</w:t>
      </w:r>
    </w:p>
    <w:p>
      <w:pPr>
        <w:pStyle w:val="ListBullet"/>
      </w:pPr>
      <w:r>
        <w:rPr>
          <w:sz w:val="21"/>
        </w:rPr>
        <w:t>Stripe billing infrastructure (ready for external clients)</w:t>
      </w:r>
    </w:p>
    <w:p>
      <w:pPr>
        <w:pStyle w:val="ListBullet"/>
      </w:pPr>
      <w:r>
        <w:rPr>
          <w:sz w:val="21"/>
        </w:rPr>
        <w:t>GitHub CI/CD pipeline — automated testing on every update</w:t>
      </w:r>
    </w:p>
    <w:p>
      <w:pPr>
        <w:pStyle w:val="ListBullet"/>
      </w:pPr>
      <w:r>
        <w:rPr>
          <w:sz w:val="21"/>
        </w:rPr>
        <w:t>Autonomous research pipeline (12 job type configurations)</w:t>
      </w:r>
    </w:p>
    <w:p>
      <w:pPr>
        <w:pStyle w:val="ListBullet"/>
      </w:pPr>
      <w:r>
        <w:rPr>
          <w:sz w:val="21"/>
        </w:rPr>
        <w:t>Docker deployment support</w:t>
      </w:r>
    </w:p>
    <w:p/>
    <w:p>
      <w:r>
        <w:rPr>
          <w:b/>
          <w:color w:val="1A3A5C"/>
          <w:sz w:val="28"/>
        </w:rPr>
        <w:t>Coming Next — Near Term (30–90 Days)</w:t>
      </w:r>
    </w:p>
    <w:p>
      <w:r>
        <w:rPr>
          <w:b/>
          <w:color w:val="2E86C1"/>
          <w:sz w:val="24"/>
        </w:rPr>
        <w:t>Data Quality Admin Panel</w:t>
      </w:r>
    </w:p>
    <w:p>
      <w:r>
        <w:rPr>
          <w:b w:val="0"/>
          <w:i w:val="0"/>
          <w:sz w:val="21"/>
        </w:rPr>
        <w:t>The backend AI already analyzes data quality across all sessions and tracks metrics like entity resolution accuracy, anomaly rates, and knowledge graph health. The next step is building the frontend panel that displays this information visually so administrators can see system health at a glance.</w:t>
      </w:r>
    </w:p>
    <w:p>
      <w:r>
        <w:rPr>
          <w:i/>
          <w:color w:val="2E86C1"/>
          <w:sz w:val="20"/>
        </w:rPr>
        <w:t>Status: Backend complete. Frontend UI needed.</w:t>
      </w:r>
    </w:p>
    <w:p/>
    <w:p>
      <w:r>
        <w:rPr>
          <w:b/>
          <w:color w:val="2E86C1"/>
          <w:sz w:val="24"/>
        </w:rPr>
        <w:t>Populate the Legal Embeddings Index</w:t>
      </w:r>
    </w:p>
    <w:p>
      <w:r>
        <w:rPr>
          <w:b w:val="0"/>
          <w:i w:val="0"/>
          <w:sz w:val="21"/>
        </w:rPr>
        <w:t>The similarity search engine is built and just needs to be fed the full historical deed archive to generate its comparison fingerprints. Running the AI bootstrap script against the complete archive will unlock full similarity search capability.</w:t>
      </w:r>
    </w:p>
    <w:p>
      <w:r>
        <w:rPr>
          <w:i/>
          <w:color w:val="2E86C1"/>
          <w:sz w:val="20"/>
        </w:rPr>
        <w:t>Status: Ready to run — requires ~2–4 hour bootstrap process.</w:t>
      </w:r>
    </w:p>
    <w:p/>
    <w:p>
      <w:r>
        <w:rPr>
          <w:b/>
          <w:color w:val="2E86C1"/>
          <w:sz w:val="24"/>
        </w:rPr>
        <w:t>Entity Resolution (Fuzzy Name Matching)</w:t>
      </w:r>
    </w:p>
    <w:p>
      <w:r>
        <w:rPr>
          <w:b w:val="0"/>
          <w:i w:val="0"/>
          <w:sz w:val="21"/>
        </w:rPr>
        <w:t>Currently the knowledge graph stores owner names exactly as typed. Entity resolution adds fuzzy matching logic to automatically recognize that 'GARCIA, M' and 'GARCIA, MARIA' are the same person and merge them.</w:t>
      </w:r>
    </w:p>
    <w:p>
      <w:r>
        <w:rPr>
          <w:i/>
          <w:color w:val="2E86C1"/>
          <w:sz w:val="20"/>
        </w:rPr>
        <w:t>Status: Algorithm designed. Implementation in progress.</w:t>
      </w:r>
    </w:p>
    <w:p/>
    <w:p>
      <w:r>
        <w:rPr>
          <w:b/>
          <w:color w:val="2E86C1"/>
          <w:sz w:val="24"/>
        </w:rPr>
        <w:t>Step 6: Generate Full Plat Button</w:t>
      </w:r>
    </w:p>
    <w:p>
      <w:r>
        <w:rPr>
          <w:b w:val="0"/>
          <w:i w:val="0"/>
          <w:sz w:val="21"/>
        </w:rPr>
        <w:t>Adding a polished one-click generate full plat button that ties together the DXF, reference table, and research package into a final deliverable, completing the 6-step workflow end-to-end.</w:t>
      </w:r>
    </w:p>
    <w:p>
      <w:r>
        <w:rPr>
          <w:i/>
          <w:color w:val="2E86C1"/>
          <w:sz w:val="20"/>
        </w:rPr>
        <w:t>Status: Design ready. Implementation next.</w:t>
      </w:r>
    </w:p>
    <w:p/>
    <w:p>
      <w:r>
        <w:rPr>
          <w:b/>
          <w:color w:val="2E86C1"/>
          <w:sz w:val="24"/>
        </w:rPr>
        <w:t>PDF Report Export</w:t>
      </w:r>
    </w:p>
    <w:p>
      <w:r>
        <w:rPr>
          <w:b w:val="0"/>
          <w:i w:val="0"/>
          <w:sz w:val="21"/>
        </w:rPr>
        <w:t>A formal, formatted PDF report that summarizes the completed research session — client name, job number, deeds found, plats found, adjoiners researched, anomalies, and completeness score.</w:t>
      </w:r>
    </w:p>
    <w:p>
      <w:r>
        <w:rPr>
          <w:i/>
          <w:color w:val="2E86C1"/>
          <w:sz w:val="20"/>
        </w:rPr>
        <w:t>Status: Planned — high value for client deliverables.</w:t>
      </w:r>
    </w:p>
    <w:p/>
    <w:p>
      <w:r>
        <w:rPr>
          <w:b/>
          <w:color w:val="2E86C1"/>
          <w:sz w:val="24"/>
        </w:rPr>
        <w:t>NM Clerk Online Integration</w:t>
      </w:r>
    </w:p>
    <w:p>
      <w:r>
        <w:rPr>
          <w:b w:val="0"/>
          <w:i w:val="0"/>
          <w:sz w:val="21"/>
        </w:rPr>
        <w:t>Direct searching of the New Mexico county clerk's online records portal from within the Deed &amp; Plat Helper, rather than opening a separate browser tab.</w:t>
      </w:r>
    </w:p>
    <w:p>
      <w:r>
        <w:rPr>
          <w:i/>
          <w:color w:val="2E86C1"/>
          <w:sz w:val="20"/>
        </w:rPr>
        <w:t>Status: Planned — closes the gap on deeds not in the primary county system.</w:t>
      </w:r>
    </w:p>
    <w:p/>
    <w:p>
      <w:r>
        <w:rPr>
          <w:b/>
          <w:color w:val="1A3A5C"/>
          <w:sz w:val="28"/>
        </w:rPr>
        <w:t>Longer Term Roadmap (3–12 Months)</w:t>
      </w:r>
    </w:p>
    <w:tbl>
      <w:tblPr>
        <w:tblStyle w:val="TableGrid"/>
        <w:tblW w:type="auto" w:w="0"/>
        <w:tblLook w:firstColumn="1" w:firstRow="1" w:lastColumn="0" w:lastRow="0" w:noHBand="0" w:noVBand="1" w:val="04A0"/>
      </w:tblPr>
      <w:tblGrid>
        <w:gridCol w:w="2928"/>
        <w:gridCol w:w="2928"/>
        <w:gridCol w:w="2928"/>
      </w:tblGrid>
      <w:tr>
        <w:tc>
          <w:tcPr>
            <w:tcW w:type="dxa" w:w="2880"/>
            <w:shd w:val="clear" w:color="auto" w:fill="1A3A5C"/>
          </w:tcPr>
          <w:p>
            <w:r>
              <w:rPr>
                <w:b/>
                <w:color w:val="FFFFFF"/>
                <w:sz w:val="20"/>
              </w:rPr>
              <w:t>Feature</w:t>
            </w:r>
          </w:p>
        </w:tc>
        <w:tc>
          <w:tcPr>
            <w:tcW w:type="dxa" w:w="4320"/>
            <w:shd w:val="clear" w:color="auto" w:fill="1A3A5C"/>
          </w:tcPr>
          <w:p>
            <w:r>
              <w:rPr>
                <w:b/>
                <w:color w:val="FFFFFF"/>
                <w:sz w:val="20"/>
              </w:rPr>
              <w:t>Description</w:t>
            </w:r>
          </w:p>
        </w:tc>
        <w:tc>
          <w:tcPr>
            <w:tcW w:type="dxa" w:w="1296"/>
            <w:shd w:val="clear" w:color="auto" w:fill="1A3A5C"/>
          </w:tcPr>
          <w:p>
            <w:r>
              <w:rPr>
                <w:b/>
                <w:color w:val="FFFFFF"/>
                <w:sz w:val="20"/>
              </w:rPr>
              <w:t>Value</w:t>
            </w:r>
          </w:p>
        </w:tc>
      </w:tr>
      <w:tr>
        <w:tc>
          <w:tcPr>
            <w:tcW w:type="dxa" w:w="2880"/>
          </w:tcPr>
          <w:p>
            <w:r>
              <w:rPr>
                <w:sz w:val="20"/>
              </w:rPr>
              <w:t>PLSS Grid Overlay</w:t>
            </w:r>
          </w:p>
        </w:tc>
        <w:tc>
          <w:tcPr>
            <w:tcW w:type="dxa" w:w="4320"/>
          </w:tcPr>
          <w:p>
            <w:r>
              <w:rPr>
                <w:sz w:val="20"/>
              </w:rPr>
              <w:t>Toggleable Public Land Survey System (Township-Range-Section) grid on the parcel map</w:t>
            </w:r>
          </w:p>
        </w:tc>
        <w:tc>
          <w:tcPr>
            <w:tcW w:type="dxa" w:w="1296"/>
          </w:tcPr>
          <w:p>
            <w:r>
              <w:rPr>
                <w:sz w:val="20"/>
              </w:rPr>
              <w:t>Medium</w:t>
            </w:r>
          </w:p>
        </w:tc>
      </w:tr>
      <w:tr>
        <w:tc>
          <w:tcPr>
            <w:tcW w:type="dxa" w:w="2880"/>
            <w:shd w:val="clear" w:color="auto" w:fill="EBF5FB"/>
          </w:tcPr>
          <w:p>
            <w:r>
              <w:rPr>
                <w:sz w:val="20"/>
              </w:rPr>
              <w:t>Metes &amp; Bounds Curve Table</w:t>
            </w:r>
          </w:p>
        </w:tc>
        <w:tc>
          <w:tcPr>
            <w:tcW w:type="dxa" w:w="4320"/>
            <w:shd w:val="clear" w:color="auto" w:fill="EBF5FB"/>
          </w:tcPr>
          <w:p>
            <w:r>
              <w:rPr>
                <w:sz w:val="20"/>
              </w:rPr>
              <w:t>Export formatted curve table for boundaries with curve calls</w:t>
            </w:r>
          </w:p>
        </w:tc>
        <w:tc>
          <w:tcPr>
            <w:tcW w:type="dxa" w:w="1296"/>
            <w:shd w:val="clear" w:color="auto" w:fill="EBF5FB"/>
          </w:tcPr>
          <w:p>
            <w:r>
              <w:rPr>
                <w:sz w:val="20"/>
              </w:rPr>
              <w:t>Medium</w:t>
            </w:r>
          </w:p>
        </w:tc>
      </w:tr>
      <w:tr>
        <w:tc>
          <w:tcPr>
            <w:tcW w:type="dxa" w:w="2880"/>
          </w:tcPr>
          <w:p>
            <w:r>
              <w:rPr>
                <w:sz w:val="20"/>
              </w:rPr>
              <w:t>Project File Browser</w:t>
            </w:r>
          </w:p>
        </w:tc>
        <w:tc>
          <w:tcPr>
            <w:tcW w:type="dxa" w:w="4320"/>
          </w:tcPr>
          <w:p>
            <w:r>
              <w:rPr>
                <w:sz w:val="20"/>
              </w:rPr>
              <w:t>Browse and reopen past research sessions by client, job number, or date</w:t>
            </w:r>
          </w:p>
        </w:tc>
        <w:tc>
          <w:tcPr>
            <w:tcW w:type="dxa" w:w="1296"/>
          </w:tcPr>
          <w:p>
            <w:r>
              <w:rPr>
                <w:sz w:val="20"/>
              </w:rPr>
              <w:t>Medium</w:t>
            </w:r>
          </w:p>
        </w:tc>
      </w:tr>
      <w:tr>
        <w:tc>
          <w:tcPr>
            <w:tcW w:type="dxa" w:w="2880"/>
            <w:shd w:val="clear" w:color="auto" w:fill="EBF5FB"/>
          </w:tcPr>
          <w:p>
            <w:r>
              <w:rPr>
                <w:sz w:val="20"/>
              </w:rPr>
              <w:t>Cabinet Full-Text OCR Index</w:t>
            </w:r>
          </w:p>
        </w:tc>
        <w:tc>
          <w:tcPr>
            <w:tcW w:type="dxa" w:w="4320"/>
            <w:shd w:val="clear" w:color="auto" w:fill="EBF5FB"/>
          </w:tcPr>
          <w:p>
            <w:r>
              <w:rPr>
                <w:sz w:val="20"/>
              </w:rPr>
              <w:t>Full-text search across all 45,000+ documents — any word in any document</w:t>
            </w:r>
          </w:p>
        </w:tc>
        <w:tc>
          <w:tcPr>
            <w:tcW w:type="dxa" w:w="1296"/>
            <w:shd w:val="clear" w:color="auto" w:fill="EBF5FB"/>
          </w:tcPr>
          <w:p>
            <w:r>
              <w:rPr>
                <w:sz w:val="20"/>
              </w:rPr>
              <w:t>High</w:t>
            </w:r>
          </w:p>
        </w:tc>
      </w:tr>
      <w:tr>
        <w:tc>
          <w:tcPr>
            <w:tcW w:type="dxa" w:w="2880"/>
          </w:tcPr>
          <w:p>
            <w:r>
              <w:rPr>
                <w:sz w:val="20"/>
              </w:rPr>
              <w:t>Voice Command Integration</w:t>
            </w:r>
          </w:p>
        </w:tc>
        <w:tc>
          <w:tcPr>
            <w:tcW w:type="dxa" w:w="4320"/>
          </w:tcPr>
          <w:p>
            <w:r>
              <w:rPr>
                <w:sz w:val="20"/>
              </w:rPr>
              <w:t>Voice input for Nova — ask questions hands-free at the draftsman's desk</w:t>
            </w:r>
          </w:p>
        </w:tc>
        <w:tc>
          <w:tcPr>
            <w:tcW w:type="dxa" w:w="1296"/>
          </w:tcPr>
          <w:p>
            <w:r>
              <w:rPr>
                <w:sz w:val="20"/>
              </w:rPr>
              <w:t>Future</w:t>
            </w:r>
          </w:p>
        </w:tc>
      </w:tr>
      <w:tr>
        <w:tc>
          <w:tcPr>
            <w:tcW w:type="dxa" w:w="2880"/>
            <w:shd w:val="clear" w:color="auto" w:fill="EBF5FB"/>
          </w:tcPr>
          <w:p>
            <w:r>
              <w:rPr>
                <w:sz w:val="20"/>
              </w:rPr>
              <w:t>Civil 3D Native DWG Export</w:t>
            </w:r>
          </w:p>
        </w:tc>
        <w:tc>
          <w:tcPr>
            <w:tcW w:type="dxa" w:w="4320"/>
            <w:shd w:val="clear" w:color="auto" w:fill="EBF5FB"/>
          </w:tcPr>
          <w:p>
            <w:r>
              <w:rPr>
                <w:sz w:val="20"/>
              </w:rPr>
              <w:t>Direct DWG output via COM bridge — eliminates the DXF import step</w:t>
            </w:r>
          </w:p>
        </w:tc>
        <w:tc>
          <w:tcPr>
            <w:tcW w:type="dxa" w:w="1296"/>
            <w:shd w:val="clear" w:color="auto" w:fill="EBF5FB"/>
          </w:tcPr>
          <w:p>
            <w:r>
              <w:rPr>
                <w:sz w:val="20"/>
              </w:rPr>
              <w:t>Future</w:t>
            </w:r>
          </w:p>
        </w:tc>
      </w:tr>
    </w:tbl>
    <w:p/>
    <w:p>
      <w:r>
        <w:rPr>
          <w:b/>
          <w:color w:val="1A3A5C"/>
          <w:sz w:val="28"/>
        </w:rPr>
        <w:t>The Vision: Phases of Development</w:t>
      </w:r>
    </w:p>
    <w:tbl>
      <w:tblPr>
        <w:tblStyle w:val="TableGrid"/>
        <w:tblW w:type="auto" w:w="0"/>
        <w:tblLook w:firstColumn="1" w:firstRow="1" w:lastColumn="0" w:lastRow="0" w:noHBand="0" w:noVBand="1" w:val="04A0"/>
      </w:tblPr>
      <w:tblGrid>
        <w:gridCol w:w="2928"/>
        <w:gridCol w:w="2928"/>
        <w:gridCol w:w="2928"/>
      </w:tblGrid>
      <w:tr>
        <w:tc>
          <w:tcPr>
            <w:tcW w:type="dxa" w:w="1152"/>
            <w:shd w:val="clear" w:color="auto" w:fill="1A3A5C"/>
          </w:tcPr>
          <w:p>
            <w:r>
              <w:rPr>
                <w:b/>
                <w:color w:val="FFFFFF"/>
                <w:sz w:val="20"/>
              </w:rPr>
              <w:t>Phase</w:t>
            </w:r>
          </w:p>
        </w:tc>
        <w:tc>
          <w:tcPr>
            <w:tcW w:type="dxa" w:w="1728"/>
            <w:shd w:val="clear" w:color="auto" w:fill="1A3A5C"/>
          </w:tcPr>
          <w:p>
            <w:r>
              <w:rPr>
                <w:b/>
                <w:color w:val="FFFFFF"/>
                <w:sz w:val="20"/>
              </w:rPr>
              <w:t>State</w:t>
            </w:r>
          </w:p>
        </w:tc>
        <w:tc>
          <w:tcPr>
            <w:tcW w:type="dxa" w:w="5760"/>
            <w:shd w:val="clear" w:color="auto" w:fill="1A3A5C"/>
          </w:tcPr>
          <w:p>
            <w:r>
              <w:rPr>
                <w:b/>
                <w:color w:val="FFFFFF"/>
                <w:sz w:val="20"/>
              </w:rPr>
              <w:t>Description</w:t>
            </w:r>
          </w:p>
        </w:tc>
      </w:tr>
      <w:tr>
        <w:tc>
          <w:tcPr>
            <w:tcW w:type="dxa" w:w="1152"/>
          </w:tcPr>
          <w:p>
            <w:r>
              <w:rPr>
                <w:sz w:val="20"/>
              </w:rPr>
              <w:t>Phase 1</w:t>
            </w:r>
          </w:p>
        </w:tc>
        <w:tc>
          <w:tcPr>
            <w:tcW w:type="dxa" w:w="1728"/>
          </w:tcPr>
          <w:p>
            <w:r>
              <w:rPr>
                <w:sz w:val="20"/>
              </w:rPr>
              <w:t>Complete</w:t>
            </w:r>
          </w:p>
        </w:tc>
        <w:tc>
          <w:tcPr>
            <w:tcW w:type="dxa" w:w="5760"/>
          </w:tcPr>
          <w:p>
            <w:r>
              <w:rPr>
                <w:sz w:val="20"/>
              </w:rPr>
              <w:t>Core 6-step research workflow</w:t>
            </w:r>
          </w:p>
        </w:tc>
      </w:tr>
      <w:tr>
        <w:tc>
          <w:tcPr>
            <w:tcW w:type="dxa" w:w="1152"/>
            <w:shd w:val="clear" w:color="auto" w:fill="EBF5FB"/>
          </w:tcPr>
          <w:p>
            <w:r>
              <w:rPr>
                <w:sz w:val="20"/>
              </w:rPr>
              <w:t>Phase 2</w:t>
            </w:r>
          </w:p>
        </w:tc>
        <w:tc>
          <w:tcPr>
            <w:tcW w:type="dxa" w:w="1728"/>
            <w:shd w:val="clear" w:color="auto" w:fill="EBF5FB"/>
          </w:tcPr>
          <w:p>
            <w:r>
              <w:rPr>
                <w:sz w:val="20"/>
              </w:rPr>
              <w:t>Complete</w:t>
            </w:r>
          </w:p>
        </w:tc>
        <w:tc>
          <w:tcPr>
            <w:tcW w:type="dxa" w:w="5760"/>
            <w:shd w:val="clear" w:color="auto" w:fill="EBF5FB"/>
          </w:tcPr>
          <w:p>
            <w:r>
              <w:rPr>
                <w:sz w:val="20"/>
              </w:rPr>
              <w:t>Cabinet index, GIS integration, session management</w:t>
            </w:r>
          </w:p>
        </w:tc>
      </w:tr>
      <w:tr>
        <w:tc>
          <w:tcPr>
            <w:tcW w:type="dxa" w:w="1152"/>
          </w:tcPr>
          <w:p>
            <w:r>
              <w:rPr>
                <w:sz w:val="20"/>
              </w:rPr>
              <w:t>Phase 3</w:t>
            </w:r>
          </w:p>
        </w:tc>
        <w:tc>
          <w:tcPr>
            <w:tcW w:type="dxa" w:w="1728"/>
          </w:tcPr>
          <w:p>
            <w:r>
              <w:rPr>
                <w:sz w:val="20"/>
              </w:rPr>
              <w:t>Complete</w:t>
            </w:r>
          </w:p>
        </w:tc>
        <w:tc>
          <w:tcPr>
            <w:tcW w:type="dxa" w:w="5760"/>
          </w:tcPr>
          <w:p>
            <w:r>
              <w:rPr>
                <w:sz w:val="20"/>
              </w:rPr>
              <w:t>AI module — chat, predictions, anomaly detection, knowledge graph</w:t>
            </w:r>
          </w:p>
        </w:tc>
      </w:tr>
      <w:tr>
        <w:tc>
          <w:tcPr>
            <w:tcW w:type="dxa" w:w="1152"/>
            <w:shd w:val="clear" w:color="auto" w:fill="EBF5FB"/>
          </w:tcPr>
          <w:p>
            <w:r>
              <w:rPr>
                <w:sz w:val="20"/>
              </w:rPr>
              <w:t>Phase 4</w:t>
            </w:r>
          </w:p>
        </w:tc>
        <w:tc>
          <w:tcPr>
            <w:tcW w:type="dxa" w:w="1728"/>
            <w:shd w:val="clear" w:color="auto" w:fill="EBF5FB"/>
          </w:tcPr>
          <w:p>
            <w:r>
              <w:rPr>
                <w:sz w:val="20"/>
              </w:rPr>
              <w:t>In Progress</w:t>
            </w:r>
          </w:p>
        </w:tc>
        <w:tc>
          <w:tcPr>
            <w:tcW w:type="dxa" w:w="5760"/>
            <w:shd w:val="clear" w:color="auto" w:fill="EBF5FB"/>
          </w:tcPr>
          <w:p>
            <w:r>
              <w:rPr>
                <w:sz w:val="20"/>
              </w:rPr>
              <w:t>Data quality dashboard, embeddings index, entity resolution</w:t>
            </w:r>
          </w:p>
        </w:tc>
      </w:tr>
      <w:tr>
        <w:tc>
          <w:tcPr>
            <w:tcW w:type="dxa" w:w="1152"/>
          </w:tcPr>
          <w:p>
            <w:r>
              <w:rPr>
                <w:sz w:val="20"/>
              </w:rPr>
              <w:t>Phase 5</w:t>
            </w:r>
          </w:p>
        </w:tc>
        <w:tc>
          <w:tcPr>
            <w:tcW w:type="dxa" w:w="1728"/>
          </w:tcPr>
          <w:p>
            <w:r>
              <w:rPr>
                <w:sz w:val="20"/>
              </w:rPr>
              <w:t>Next</w:t>
            </w:r>
          </w:p>
        </w:tc>
        <w:tc>
          <w:tcPr>
            <w:tcW w:type="dxa" w:w="5760"/>
          </w:tcPr>
          <w:p>
            <w:r>
              <w:rPr>
                <w:sz w:val="20"/>
              </w:rPr>
              <w:t>Full plat export, PDF reports, NM Clerk integration</w:t>
            </w:r>
          </w:p>
        </w:tc>
      </w:tr>
      <w:tr>
        <w:tc>
          <w:tcPr>
            <w:tcW w:type="dxa" w:w="1152"/>
            <w:shd w:val="clear" w:color="auto" w:fill="EBF5FB"/>
          </w:tcPr>
          <w:p>
            <w:r>
              <w:rPr>
                <w:sz w:val="20"/>
              </w:rPr>
              <w:t>Phase 6</w:t>
            </w:r>
          </w:p>
        </w:tc>
        <w:tc>
          <w:tcPr>
            <w:tcW w:type="dxa" w:w="1728"/>
            <w:shd w:val="clear" w:color="auto" w:fill="EBF5FB"/>
          </w:tcPr>
          <w:p>
            <w:r>
              <w:rPr>
                <w:sz w:val="20"/>
              </w:rPr>
              <w:t>Future</w:t>
            </w:r>
          </w:p>
        </w:tc>
        <w:tc>
          <w:tcPr>
            <w:tcW w:type="dxa" w:w="5760"/>
            <w:shd w:val="clear" w:color="auto" w:fill="EBF5FB"/>
          </w:tcPr>
          <w:p>
            <w:r>
              <w:rPr>
                <w:sz w:val="20"/>
              </w:rPr>
              <w:t>Voice input, full-text OCR search, Civil 3D native export</w:t>
            </w:r>
          </w:p>
        </w:tc>
      </w:tr>
      <w:tr>
        <w:tc>
          <w:tcPr>
            <w:tcW w:type="dxa" w:w="1152"/>
          </w:tcPr>
          <w:p>
            <w:r>
              <w:rPr>
                <w:sz w:val="20"/>
              </w:rPr>
              <w:t>Phase 7</w:t>
            </w:r>
          </w:p>
        </w:tc>
        <w:tc>
          <w:tcPr>
            <w:tcW w:type="dxa" w:w="1728"/>
          </w:tcPr>
          <w:p>
            <w:r>
              <w:rPr>
                <w:sz w:val="20"/>
              </w:rPr>
              <w:t>Long-term</w:t>
            </w:r>
          </w:p>
        </w:tc>
        <w:tc>
          <w:tcPr>
            <w:tcW w:type="dxa" w:w="5760"/>
          </w:tcPr>
          <w:p>
            <w:r>
              <w:rPr>
                <w:sz w:val="20"/>
              </w:rPr>
              <w:t>Fully autonomous research — inquiry intake to deliverable with no manual steps</w:t>
            </w:r>
          </w:p>
        </w:tc>
      </w:tr>
    </w:tbl>
    <w:p/>
    <w:p>
      <w:r>
        <w:rPr>
          <w:b/>
          <w:color w:val="1A3A5C"/>
          <w:sz w:val="28"/>
        </w:rPr>
        <w:t>How to Request Features or Report Issues</w:t>
      </w:r>
    </w:p>
    <w:p>
      <w:pPr>
        <w:pStyle w:val="ListBullet"/>
      </w:pPr>
      <w:r>
        <w:rPr>
          <w:sz w:val="21"/>
        </w:rPr>
        <w:t>Note the specific step or feature where the issue occurs</w:t>
      </w:r>
    </w:p>
    <w:p>
      <w:pPr>
        <w:pStyle w:val="ListBullet"/>
      </w:pPr>
      <w:r>
        <w:rPr>
          <w:sz w:val="21"/>
        </w:rPr>
        <w:t>Write down what you expected vs. what happened</w:t>
      </w:r>
    </w:p>
    <w:p>
      <w:pPr>
        <w:pStyle w:val="ListBullet"/>
      </w:pPr>
      <w:r>
        <w:rPr>
          <w:sz w:val="21"/>
        </w:rPr>
        <w:t>Report it to the project lead or office administrator</w:t>
      </w:r>
    </w:p>
    <w:p>
      <w:pPr>
        <w:pStyle w:val="ListBullet"/>
      </w:pPr>
      <w:r>
        <w:rPr>
          <w:sz w:val="21"/>
        </w:rPr>
        <w:t>Suggestions will be reviewed and prioritized in the next planning cycle</w:t>
      </w:r>
    </w:p>
    <w:p>
      <w:r>
        <w:rPr>
          <w:b w:val="0"/>
          <w:i/>
          <w:sz w:val="21"/>
        </w:rPr>
        <w:t>The system improves fastest when all staff actively use it and provide feedback.</w:t>
      </w:r>
    </w:p>
    <w:p/>
    <w:p>
      <w:pPr>
        <w:pBdr>
          <w:bottom w:val="single" w:sz="6" w:space="1" w:color="1A3A5C"/>
        </w:pBdr>
      </w:pPr>
    </w:p>
    <w:p>
      <w:r>
        <w:rPr>
          <w:i/>
          <w:color w:val="888888"/>
          <w:sz w:val="18"/>
        </w:rPr>
        <w:t>Red Tail Surveying, Inc. | April 2026 | Roadmap is subject to change as priorities evolve.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