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Efecto de retroalimentación del IBC en el crédito rural colombiano</w:t>
      </w:r>
    </w:p>
    <w:p>
      <w:pPr>
        <w:jc w:val="center"/>
      </w:pPr>
      <w:r>
        <w:rPr>
          <w:i/>
          <w:sz w:val="26"/>
        </w:rPr>
        <w:t>Propuesta de estructura del artículo</w:t>
      </w:r>
    </w:p>
    <w:p/>
    <w:p>
      <w:pPr>
        <w:pStyle w:val="Heading1"/>
      </w:pPr>
      <w:r>
        <w:t>Resumen ejecutivo</w:t>
      </w:r>
    </w:p>
    <w:p>
      <w:r>
        <w:t>El IBC (Índice Bancario de Crédito) que la SFC publica cada mes determina el techo de usura vigente al mes siguiente. Como Finagro coloca crédito al sector agropecuario a tasas subsidiadas y esas operaciones se reportan a la SFC, sus desembolsos entran al cálculo del IBC. Este artículo cuantifica en qué medida la presencia de Finagro deprime el IBC del crédito productivo rural, y examina si ese efecto se transmite también al pricing de la banca privada — es decir, si hay una retroalimentación entre la política de subsidio agropecuario y el costo legal máximo del crédito en Colombia.</w:t>
      </w:r>
    </w:p>
    <w:p>
      <w:pPr>
        <w:ind w:left="432" w:right="432"/>
      </w:pPr>
      <w:r>
        <w:rPr>
          <w:b/>
          <w:i/>
        </w:rPr>
        <w:t>¿Cómo la tasa de Finagro — limitada por políticas sociales/subsidios — impacta el IBC del crédito productivo rural?</w:t>
      </w:r>
    </w:p>
    <w:p>
      <w:r>
        <w:t>Toda la narrativa del artículo converge en responder esta pregunta. Las ocho secciones siguientes son los eslabones del argumento.</w:t>
      </w:r>
    </w:p>
    <w:p>
      <w:pPr>
        <w:pStyle w:val="Heading1"/>
      </w:pPr>
      <w:r>
        <w:t>1. Motivación y el mecanismo de retroalimentación</w:t>
      </w:r>
    </w:p>
    <w:p>
      <w:r>
        <w:t>Se introduce al lector al IBC, al techo de usura y al rol de Finagro en el sistema de crédito rural. La sospecha que articula el artículo es la siguiente: si Finagro pesa lo suficiente en el monto desembolsado de un segmento, su tasa subsidiada deprime el IBC del segmento; el IBC más bajo se traduce en un techo de usura más bajo el mes siguiente; ese techo más bajo restringe lo que la banca privada puede legalmente cobrar — y por consiguiente puede afectar a quién y a qué precio se le presta. Eso es la retroalimentación.</w:t>
      </w:r>
    </w:p>
    <w:p>
      <w:pPr>
        <w:pStyle w:val="IntenseQuote"/>
      </w:pPr>
      <w:r>
        <w:t>Hechos institucionales que el lector necesita asumir:</w:t>
      </w:r>
    </w:p>
    <w:p>
      <w:pPr>
        <w:pStyle w:val="ListBullet"/>
      </w:pPr>
      <w:r>
        <w:t>La SFC publica el IBC como promedio ponderado por monto de las tasas efectivas desembolsadas. El techo de usura se fija como múltiplo del IBC del mes anterior (≈1.5× para Crédito de Consumo y Ordinario; otras reglas para microcrédito). Las operaciones Finagro (redescuento + FAG) se reportan a la SFC y entran al cálculo del IBC sin distinción especial.</w:t>
      </w:r>
    </w:p>
    <w:p>
      <w:pPr>
        <w:pStyle w:val="Heading1"/>
      </w:pPr>
      <w:r>
        <w:t>2. Hipótesis: el mecanismo dual</w:t>
      </w:r>
    </w:p>
    <w:p>
      <w:r>
        <w:t>La pregunta tiene dos canales que se confunden con facilidad y conviene separar desde el principio:</w:t>
      </w:r>
    </w:p>
    <w:p>
      <w:pPr>
        <w:pStyle w:val="Heading2"/>
      </w:pPr>
      <w:r>
        <w:t>Canal A — Composición (mecánico, aritmético)</w:t>
      </w:r>
    </w:p>
    <w:p>
      <w:r>
        <w:t>Por construcción del IBC: IBC_p = w_F · tasa_finagro + (1 − w_F) · tasa_no_finagro. Como tasa_finagro &lt; tasa_no_finagro y w_F &gt; 0, el IBC queda más bajo que la tasa de mercado. Esto no es comportamiento — es aritmética del promedio ponderado.</w:t>
      </w:r>
    </w:p>
    <w:p>
      <w:pPr>
        <w:pStyle w:val="Heading2"/>
      </w:pPr>
      <w:r>
        <w:t>Canal B — Pass-through al mercado privado (comportamiento)</w:t>
      </w:r>
    </w:p>
    <w:p>
      <w:r>
        <w:t>¿La existencia de Finagro hace que los bancos privados bajen su tasa? Dos sub-canales:</w:t>
      </w:r>
    </w:p>
    <w:p>
      <w:pPr>
        <w:pStyle w:val="ListBullet"/>
      </w:pPr>
      <w:r>
        <w:t>B1 — Competencia directa de precios. Los bancos ven la tasa Finagro y reaccionan inmediatamente (lag ≈ 0).</w:t>
      </w:r>
    </w:p>
    <w:p>
      <w:pPr>
        <w:pStyle w:val="ListBullet"/>
      </w:pPr>
      <w:r>
        <w:t>B2 — Vía techo de usura. Finagro deprime el IBC → el techo de usura del mes siguiente baja → los bancos privados se ajustan al nuevo techo (lag ≈ 1 mes).</w:t>
      </w:r>
    </w:p>
    <w:p>
      <w:r>
        <w:t>Tesis tentativa del artículo: ambos canales operan, pero el canal B2 (vía techo) es el dominante en crédito productivo rural, donde el peso de Finagro es mayor. La sección 6 contrasta esta tesis con la evidencia.</w:t>
      </w:r>
    </w:p>
    <w:p>
      <w:pPr>
        <w:pStyle w:val="Heading1"/>
      </w:pPr>
      <w:r>
        <w:t>3. Datos y metodología</w:t>
      </w:r>
    </w:p>
    <w:p>
      <w:pPr>
        <w:pStyle w:val="Heading2"/>
      </w:pPr>
      <w:r>
        <w:t>3.1 Fuentes</w:t>
      </w:r>
    </w:p>
    <w:p>
      <w:pPr>
        <w:pStyle w:val="ListBullet"/>
      </w:pPr>
      <w:r>
        <w:t>Microdatos Finagro (un registro por crédito desembolsado, con tasa, municipio, garantía FAG, tipo de productor) cruzados con los reportes de la Superintendencia Financiera (SFC) obtenidos vía la API Socrata de datos.gov.co. Las tasas BanRep (TES 1 año, IBR overnight, DTF 90 días) se incluyen como controles macro a frecuencia semanal.</w:t>
      </w:r>
    </w:p>
    <w:p>
      <w:pPr>
        <w:pStyle w:val="ListBullet"/>
      </w:pPr>
      <w:r>
        <w:t>Frecuencia de análisis: semanal con cierre de viernes.</w:t>
      </w:r>
    </w:p>
    <w:p>
      <w:pPr>
        <w:pStyle w:val="Heading2"/>
      </w:pPr>
      <w:r>
        <w:t>3.2 Cálculo del IBC</w:t>
      </w:r>
    </w:p>
    <w:p>
      <w:r>
        <w:t>Replicamos la metodología SFC/BanRep — promedio ponderado por monto desembolsado, por segmento y semana — para cinco segmentos de Crédito Productivo: agregado, Rural, Popular Rural, Urbano y Popular Urbano.</w:t>
      </w:r>
    </w:p>
    <w:p>
      <w:pPr>
        <w:pStyle w:val="Heading2"/>
      </w:pPr>
      <w:r>
        <w:t>3.3 Validación del IBC calculado</w:t>
      </w:r>
    </w:p>
    <w:p>
      <w:r>
        <w:t>Contrastamos el IBC calculado contra el IBC oficial publicado por la SFC. Para los segmentos rurales — únicos validados hasta ahora — el ajuste es bueno y sin sesgo sistemático: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Segmento</w:t>
            </w:r>
          </w:p>
        </w:tc>
        <w:tc>
          <w:tcPr>
            <w:tcW w:type="dxa" w:w="1728"/>
          </w:tcPr>
          <w:p>
            <w:r>
              <w:t>Meses validados</w:t>
            </w:r>
          </w:p>
        </w:tc>
        <w:tc>
          <w:tcPr>
            <w:tcW w:type="dxa" w:w="1728"/>
          </w:tcPr>
          <w:p>
            <w:r>
              <w:t>Bias (mediana)</w:t>
            </w:r>
          </w:p>
        </w:tc>
        <w:tc>
          <w:tcPr>
            <w:tcW w:type="dxa" w:w="1728"/>
          </w:tcPr>
          <w:p>
            <w:r>
              <w:t>MAE</w:t>
            </w:r>
          </w:p>
        </w:tc>
        <w:tc>
          <w:tcPr>
            <w:tcW w:type="dxa" w:w="1728"/>
          </w:tcPr>
          <w:p>
            <w:r>
              <w:t>Error rel. medio</w:t>
            </w:r>
          </w:p>
        </w:tc>
      </w:tr>
      <w:tr>
        <w:tc>
          <w:tcPr>
            <w:tcW w:type="dxa" w:w="1728"/>
          </w:tcPr>
          <w:p>
            <w:r>
              <w:t>Crédito Productivo Rural</w:t>
            </w:r>
          </w:p>
        </w:tc>
        <w:tc>
          <w:tcPr>
            <w:tcW w:type="dxa" w:w="1728"/>
          </w:tcPr>
          <w:p>
            <w:r>
              <w:t>22 (abr-2024 → ene-2026)</w:t>
            </w:r>
          </w:p>
        </w:tc>
        <w:tc>
          <w:tcPr>
            <w:tcW w:type="dxa" w:w="1728"/>
          </w:tcPr>
          <w:p>
            <w:r>
              <w:t>+0.01 pp</w:t>
            </w:r>
          </w:p>
        </w:tc>
        <w:tc>
          <w:tcPr>
            <w:tcW w:type="dxa" w:w="1728"/>
          </w:tcPr>
          <w:p>
            <w:r>
              <w:t>0.26 pp</w:t>
            </w:r>
          </w:p>
        </w:tc>
        <w:tc>
          <w:tcPr>
            <w:tcW w:type="dxa" w:w="1728"/>
          </w:tcPr>
          <w:p>
            <w:r>
              <w:t>1.4 %</w:t>
            </w:r>
          </w:p>
        </w:tc>
      </w:tr>
      <w:tr>
        <w:tc>
          <w:tcPr>
            <w:tcW w:type="dxa" w:w="1728"/>
          </w:tcPr>
          <w:p>
            <w:r>
              <w:t>Crédito Productivo Popular Rural</w:t>
            </w:r>
          </w:p>
        </w:tc>
        <w:tc>
          <w:tcPr>
            <w:tcW w:type="dxa" w:w="1728"/>
          </w:tcPr>
          <w:p>
            <w:r>
              <w:t>24 (ene-2024 → dic-2025)</w:t>
            </w:r>
          </w:p>
        </w:tc>
        <w:tc>
          <w:tcPr>
            <w:tcW w:type="dxa" w:w="1728"/>
          </w:tcPr>
          <w:p>
            <w:r>
              <w:t>+0.05 pp</w:t>
            </w:r>
          </w:p>
        </w:tc>
        <w:tc>
          <w:tcPr>
            <w:tcW w:type="dxa" w:w="1728"/>
          </w:tcPr>
          <w:p>
            <w:r>
              <w:t>0.41 pp</w:t>
            </w:r>
          </w:p>
        </w:tc>
        <w:tc>
          <w:tcPr>
            <w:tcW w:type="dxa" w:w="1728"/>
          </w:tcPr>
          <w:p>
            <w:r>
              <w:t>0.9 %</w:t>
            </w:r>
          </w:p>
        </w:tc>
      </w:tr>
    </w:tbl>
    <w:p/>
    <w:p>
      <w:r>
        <w:t>Pendiente: validar los tres segmentos urbanos (Productivo agregado, Productivo Urbano, Popular Productivo Urbano), que la SFC sí publica certificados. El artículo declarará explícitamente que la validación numérica cubre solo los segmentos rurales y se asume que la metodología transfiere a los urbanos.</w:t>
      </w:r>
    </w:p>
    <w:p>
      <w:pPr>
        <w:pStyle w:val="Heading1"/>
      </w:pPr>
      <w:r>
        <w:t>4. Hechos estilizados — el campo de juego</w:t>
      </w:r>
    </w:p>
    <w:p>
      <w:pPr>
        <w:pStyle w:val="Heading2"/>
      </w:pPr>
      <w:r>
        <w:t>4.1 Peso de Finagro por segmento</w:t>
      </w:r>
    </w:p>
    <w:p>
      <w:r>
        <w:t>En la SFC no existe un marcador explícito de "esto es Finagro". Construimos tres reglas operativas sobre las marcas disponibles, de más conservadora a más laxa: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Regla</w:t>
            </w:r>
          </w:p>
        </w:tc>
        <w:tc>
          <w:tcPr>
            <w:tcW w:type="dxa" w:w="2880"/>
          </w:tcPr>
          <w:p>
            <w:r>
              <w:t>Definición</w:t>
            </w:r>
          </w:p>
        </w:tc>
        <w:tc>
          <w:tcPr>
            <w:tcW w:type="dxa" w:w="2880"/>
          </w:tcPr>
          <w:p>
            <w:r>
              <w:t>Participación nacional (monto)</w:t>
            </w:r>
          </w:p>
        </w:tc>
      </w:tr>
      <w:tr>
        <w:tc>
          <w:tcPr>
            <w:tcW w:type="dxa" w:w="2880"/>
          </w:tcPr>
          <w:p>
            <w:r>
              <w:t>Finagro-LB (Lower Bound)</w:t>
            </w:r>
          </w:p>
        </w:tc>
        <w:tc>
          <w:tcPr>
            <w:tcW w:type="dxa" w:w="2880"/>
          </w:tcPr>
          <w:p>
            <w:r>
              <w:t>Rural ∧ Redescuento</w:t>
            </w:r>
          </w:p>
        </w:tc>
        <w:tc>
          <w:tcPr>
            <w:tcW w:type="dxa" w:w="2880"/>
          </w:tcPr>
          <w:p>
            <w:r>
              <w:t>22.2 %</w:t>
            </w:r>
          </w:p>
        </w:tc>
      </w:tr>
      <w:tr>
        <w:tc>
          <w:tcPr>
            <w:tcW w:type="dxa" w:w="2880"/>
          </w:tcPr>
          <w:p>
            <w:r>
              <w:t>Finagro-LB⁺</w:t>
            </w:r>
          </w:p>
        </w:tc>
        <w:tc>
          <w:tcPr>
            <w:tcW w:type="dxa" w:w="2880"/>
          </w:tcPr>
          <w:p>
            <w:r>
              <w:t>Rural ∧ Redescuento ∧ FAG</w:t>
            </w:r>
          </w:p>
        </w:tc>
        <w:tc>
          <w:tcPr>
            <w:tcW w:type="dxa" w:w="2880"/>
          </w:tcPr>
          <w:p>
            <w:r>
              <w:t>11.8 %</w:t>
            </w:r>
          </w:p>
        </w:tc>
      </w:tr>
      <w:tr>
        <w:tc>
          <w:tcPr>
            <w:tcW w:type="dxa" w:w="2880"/>
          </w:tcPr>
          <w:p>
            <w:r>
              <w:t>Finagro-UB (Upper Bound)</w:t>
            </w:r>
          </w:p>
        </w:tc>
        <w:tc>
          <w:tcPr>
            <w:tcW w:type="dxa" w:w="2880"/>
          </w:tcPr>
          <w:p>
            <w:r>
              <w:t>Redescuento ∧ FNG</w:t>
            </w:r>
          </w:p>
        </w:tc>
        <w:tc>
          <w:tcPr>
            <w:tcW w:type="dxa" w:w="2880"/>
          </w:tcPr>
          <w:p>
            <w:r>
              <w:t>23.5 %</w:t>
            </w:r>
          </w:p>
        </w:tc>
      </w:tr>
    </w:tbl>
    <w:p/>
    <w:p>
      <w:r>
        <w:t>Definición operativa adoptada: Finagro-LB (la más conservadora). En el segmento de Crédito Productivo Rural — el caso de estudio principal — el peso de Finagro es de aproximadamente 64 % del monto desembolsado, muy por encima de la media nacional. Banagrario concentra el 32.8 % del canal FAG-Finagro a nivel país.</w:t>
      </w:r>
    </w:p>
    <w:p>
      <w:r>
        <w:rPr>
          <w:i/>
        </w:rPr>
        <w:t>Por qué importa: la heterogeneidad de w_F entre productos es el principal recurso de identificación del artículo. Si el canal B es real, debería verse más fuerte donde w_F es mayor (rural).</w:t>
      </w:r>
    </w:p>
    <w:p>
      <w:pPr>
        <w:pStyle w:val="Heading2"/>
      </w:pPr>
      <w:r>
        <w:t>4.2 Brecha de tasa Finagro vs no-Finagro</w:t>
      </w:r>
    </w:p>
    <w:p>
      <w:r>
        <w:t>Se construye la tasa ponderada por monto, separando los desembolsos según la regla Finagro-LB, y se calcula el gap = tasa_no_finagro − tasa_finagro por (semana × producto).</w:t>
      </w:r>
    </w:p>
    <w:p>
      <w:r>
        <w:t>Observación central: el crédito productivo rural es el único producto donde (a) Finagro tiene mayoría del monto (~64 %), y (b) el gap se está cerrando a lo largo del período. Eso lo convierte en el caso de estudio principal del artículo.</w:t>
      </w:r>
    </w:p>
    <w:p>
      <w:pPr>
        <w:pStyle w:val="Heading1"/>
      </w:pPr>
      <w:r>
        <w:t>5. Canal A — el efecto mecánico sobre el IBC</w:t>
      </w:r>
    </w:p>
    <w:p>
      <w:r>
        <w:t>Por la construcción del IBC, el efecto de Finagro sobre el IBC del segmento es:</w:t>
      </w:r>
    </w:p>
    <w:p>
      <w:pPr>
        <w:jc w:val="center"/>
      </w:pPr>
      <w:r>
        <w:rPr>
          <w:b/>
        </w:rPr>
        <w:t>efecto_F = IBC − tasa_no_finagro = − w_F · gap</w:t>
      </w:r>
    </w:p>
    <w:p>
      <w:r>
        <w:t>Es decir, cuántos puntos porcentuales más bajo queda el IBC del segmento por la presencia de Finagro. La magnitud crece con w_F y con el gap.</w:t>
      </w:r>
    </w:p>
    <w:p>
      <w:r>
        <w:t>El artículo reporta efecto_F por segmento con intervalos de confianza bootstrap, y la diferencia implicada en el techo de usura (Δ techo ≈ 1.5 · efecto_F para Consumo/Ordinario). El número destacado del artículo es la magnitud del efecto en crédito productivo rural — el segmento donde Finagro pesa más.</w:t>
      </w:r>
    </w:p>
    <w:p>
      <w:r>
        <w:rPr>
          <w:i/>
        </w:rPr>
        <w:t>Aclaración importante: este efecto es aritmético, no causal sobre el equilibrio del mercado. La pregunta de comportamiento (¿la banca privada se ajusta?) se aborda en la sección 6.</w:t>
      </w:r>
    </w:p>
    <w:p>
      <w:pPr>
        <w:pStyle w:val="Heading1"/>
      </w:pPr>
      <w:r>
        <w:t>6. Canal B — ¿hay pass-through al mercado privado?</w:t>
      </w:r>
    </w:p>
    <w:p>
      <w:r>
        <w:t>Si solo existiera el canal A, el IBC sería bajo pero la tasa privada sería independiente del subsidio. La hipótesis del artículo es que el techo de usura, al bajar por la presencia de Finagro, disciplina lo que la banca privada cobra. Para confirmarlo o refutarlo, miramos la dinámica de tasa_no_finagro directamente.</w:t>
      </w:r>
    </w:p>
    <w:p>
      <w:pPr>
        <w:pStyle w:val="Heading2"/>
      </w:pPr>
      <w:r>
        <w:t>6.1 ¿De dónde viene la caída de la tasa privada rural? (shift-share)</w:t>
      </w:r>
    </w:p>
    <w:p>
      <w:r>
        <w:t>Descomposición shift-share entre las primeras 12 semanas y las últimas 12 del período, sobre el único producto donde Finagro tiene mayoría: dimos por (a) cada banco bajando su tasa (efecto within), (b) reasignación de cuota hacia bancos más baratos (between), (c) entradas y salidas de entidades.</w:t>
      </w:r>
    </w:p>
    <w:p>
      <w:r>
        <w:t>Si el efecto within domina, los bancos individualmente están bajando su tasa — consistente con disciplina del techo. Si between domina, es solo composición. El artículo reportará la descomposición y nombrará las entidades que más contribuyen al efecto within.</w:t>
      </w:r>
    </w:p>
    <w:p>
      <w:pPr>
        <w:pStyle w:val="Heading2"/>
      </w:pPr>
      <w:r>
        <w:t>6.2 ¿Cuánto explica el ciclo macro? (R²)</w:t>
      </w:r>
    </w:p>
    <w:p>
      <w:r>
        <w:t>Modelo macro-only por producto: tasa_no_finagro ~ DTF + IBR + TES (sin tendencia). La métrica clave es el R² conjunto, no los betas individuales (la colinealidad macro rompe los betas individuales pero no afecta la capacidad explicativa conjunta). Si rural tiene R² más bajo que los otros productos y una tendencia residual negativa significativa, hay algo no-macro empujando la tasa privada rural hacia abajo. Ese "algo" es candidato a ser Finagro vía el canal B.</w:t>
      </w:r>
    </w:p>
    <w:p>
      <w:pPr>
        <w:pStyle w:val="Heading2"/>
      </w:pPr>
      <w:r>
        <w:t>6.3 Pass-through directo (regresión con lags)</w:t>
      </w:r>
    </w:p>
    <w:p>
      <w:r>
        <w:t>Estimamos por producto, con errores Newey-West (HAC):</w:t>
      </w:r>
    </w:p>
    <w:p>
      <w:pPr>
        <w:ind w:left="432"/>
      </w:pPr>
      <w:r>
        <w:rPr>
          <w:i/>
        </w:rPr>
        <w:t>tasa_no_finagro = α + γ₀ · tasa_finagro_t + γ₄ · tasa_finagro_{t−4 semanas} + β_t · t + β_macro · X + ε</w:t>
      </w:r>
    </w:p>
    <w:p>
      <w:r>
        <w:t>Interpretación:</w:t>
      </w:r>
    </w:p>
    <w:p>
      <w:pPr>
        <w:pStyle w:val="ListBullet"/>
      </w:pPr>
      <w:r>
        <w:t>γ₀ — canal de competencia directa. Los bancos ven el precio Finagro y reaccionan inmediatamente.</w:t>
      </w:r>
    </w:p>
    <w:p>
      <w:pPr>
        <w:pStyle w:val="ListBullet"/>
      </w:pPr>
      <w:r>
        <w:t>γ₄ — canal vía techo de usura. La cadena: tasa Finagro semana s → entra al IBC publicado el mes siguiente → fija el nuevo techo de usura → bancos privados ajustan pricing. El lag natural es de unas 4 semanas.</w:t>
      </w:r>
    </w:p>
    <w:p>
      <w:r>
        <w:t>Si γ₄ &gt; γ₀ y significativo, el canal vía techo domina (que es la hipótesis del título del proyecto). Si γ₀ &gt; γ₄, domina la competencia directa de precios. Un lag adicional de 8 semanas se incluye como robustez.</w:t>
      </w:r>
    </w:p>
    <w:p>
      <w:pPr>
        <w:pStyle w:val="Heading2"/>
      </w:pPr>
      <w:r>
        <w:t>6.4 Cross-product: identificación implícita</w:t>
      </w:r>
    </w:p>
    <w:p>
      <w:r>
        <w:t>Si el canal B es real, γ_total = γ₀ + γ₄ debe crecer con w_F entre los cinco productos. Si γ_total es plano respecto a w_F, la asociación es ruido y la narrativa causal no se sostiene. El artículo reportará la regresión cross-product γ_total = α + β · w_F y la pendiente β como evidencia principal de identificación.</w:t>
      </w:r>
    </w:p>
    <w:p>
      <w:pPr>
        <w:pStyle w:val="Heading2"/>
      </w:pPr>
      <w:r>
        <w:t>6.5 Robustez</w:t>
      </w:r>
    </w:p>
    <w:p>
      <w:pPr>
        <w:pStyle w:val="ListBullet"/>
      </w:pPr>
      <w:r>
        <w:t>Modelo reducido sin IBR/TES (controlando colinealidad macro): se contrasta el orden de los coeficientes entre productos con el modelo completo.</w:t>
      </w:r>
    </w:p>
    <w:p>
      <w:pPr>
        <w:pStyle w:val="ListBullet"/>
      </w:pPr>
      <w:r>
        <w:t>Mann-Kendall no paramétrico sobre la serie cruda y sobre el residuo del modelo completo: si rural muestra tendencia decreciente significativa en ambas, la evidencia es muy fuerte.</w:t>
      </w:r>
    </w:p>
    <w:p>
      <w:pPr>
        <w:pStyle w:val="Heading1"/>
      </w:pPr>
      <w:r>
        <w:t>7. Discusión</w:t>
      </w:r>
    </w:p>
    <w:p>
      <w:pPr>
        <w:pStyle w:val="Heading2"/>
      </w:pPr>
      <w:r>
        <w:t>7.1 Veredicto sobre la pregunta central</w:t>
      </w:r>
    </w:p>
    <w:p>
      <w:r>
        <w:t>Cierre integrado: cuántos puntos porcentuales del impacto sobre el IBC rural vienen del canal mecánico (composición) y cuántos del canal de comportamiento (pass-through vía techo o competencia). El artículo se cierra con la cifra del techo de usura: cuántos pp por debajo queda el techo legal por la presencia de Finagro.</w:t>
      </w:r>
    </w:p>
    <w:p>
      <w:pPr>
        <w:pStyle w:val="Heading2"/>
      </w:pPr>
      <w:r>
        <w:t>7.2 Implicaciones de política</w:t>
      </w:r>
    </w:p>
    <w:p>
      <w:r>
        <w:t>Si la retroalimentación es real, Finagro está funcionando como instrumento de política monetaria sectorial — sin que ese sea su mandato declarado. El mismo mecanismo que abarata el crédito agropecuario podría estar reduciendo la oferta privada en segmentos donde el techo se aprieta (los bancos privados podrían salir de productos con baja rentabilidad post-techo). Una pregunta abierta que el estudio plantea pero no responde: ¿hay evidencia de retiro de oferta privada en segmentos con w_F alto?</w:t>
      </w:r>
    </w:p>
    <w:p>
      <w:pPr>
        <w:pStyle w:val="Heading2"/>
      </w:pPr>
      <w:r>
        <w:t>7.3 Limitaciones</w:t>
      </w:r>
    </w:p>
    <w:p>
      <w:pPr>
        <w:pStyle w:val="ListBullet"/>
      </w:pPr>
      <w:r>
        <w:t>Validación numérica del IBC cubre solo los dos segmentos rurales; los tres urbanos se asumen por extensión metodológica.</w:t>
      </w:r>
    </w:p>
    <w:p>
      <w:pPr>
        <w:pStyle w:val="ListBullet"/>
      </w:pPr>
      <w:r>
        <w:t>No hay shock exógeno explícito que use el artículo. La identificación descansa en controles macro, variación cross-product de w_F y estructura temporal de lags. No es identificación causal de tipo experimento natural.</w:t>
      </w:r>
    </w:p>
    <w:p>
      <w:pPr>
        <w:pStyle w:val="ListBullet"/>
      </w:pPr>
      <w:r>
        <w:t>La definición operativa de "Finagro" (regla LB) es conservadora. Una definición más laxa elevaría los pesos w_F y el efecto mecánico, pero también podría cambiar el pass-through estimado.</w:t>
      </w:r>
    </w:p>
    <w:p>
      <w:pPr>
        <w:pStyle w:val="Heading1"/>
      </w:pPr>
      <w:r>
        <w:t>8. Conclusión</w:t>
      </w:r>
    </w:p>
    <w:p>
      <w:r>
        <w:t>Tres elementos: (i) recapitulación del hallazgo — magnitudes del canal A y del canal B; (ii) por qué importa — para el regulador, la banca privada y el sector agropecuario; (iii) qué sigue — una o dos preguntas abiertas que abre el estudio.</w:t>
      </w:r>
    </w:p>
    <w:p>
      <w:pPr>
        <w:pStyle w:val="Heading1"/>
      </w:pPr>
      <w:r>
        <w:t>Estado actual del análisis</w:t>
      </w:r>
    </w:p>
    <w:p>
      <w:r>
        <w:t>Lo que ya está cerrado:</w:t>
      </w:r>
    </w:p>
    <w:p>
      <w:pPr>
        <w:pStyle w:val="ListBullet"/>
      </w:pPr>
      <w:r>
        <w:t>Pipeline de datos (Finagro + SFC) y consolidación semanal.</w:t>
      </w:r>
    </w:p>
    <w:p>
      <w:pPr>
        <w:pStyle w:val="ListBullet"/>
      </w:pPr>
      <w:r>
        <w:t>Cálculo del IBC para los cinco segmentos.</w:t>
      </w:r>
    </w:p>
    <w:p>
      <w:pPr>
        <w:pStyle w:val="ListBullet"/>
      </w:pPr>
      <w:r>
        <w:t>Validación contra IBC oficial SFC en los dos segmentos rurales (MAE de 0.26–0.41 pp, sin sesgo sistemático).</w:t>
      </w:r>
    </w:p>
    <w:p>
      <w:pPr>
        <w:pStyle w:val="ListBullet"/>
      </w:pPr>
      <w:r>
        <w:t>Peso de Finagro por producto y brecha Finagro vs no-Finagro.</w:t>
      </w:r>
    </w:p>
    <w:p>
      <w:pPr>
        <w:pStyle w:val="ListBullet"/>
      </w:pPr>
      <w:r>
        <w:t>Efecto mecánico (canal A) calculado en el notebook; falta sintetizarlo en la narrativa del artículo.</w:t>
      </w:r>
    </w:p>
    <w:p>
      <w:pPr>
        <w:pStyle w:val="ListBullet"/>
      </w:pPr>
      <w:r>
        <w:t>Marco de pass-through directo con lags (canal B) implementado.</w:t>
      </w:r>
    </w:p>
    <w:p>
      <w:r>
        <w:t>Lo que falta:</w:t>
      </w:r>
    </w:p>
    <w:p>
      <w:pPr>
        <w:pStyle w:val="ListBullet"/>
      </w:pPr>
      <w:r>
        <w:t>Llenar las cifras de cada sección con los outputs de los notebooks ya corridos.</w:t>
      </w:r>
    </w:p>
    <w:p>
      <w:pPr>
        <w:pStyle w:val="ListBullet"/>
      </w:pPr>
      <w:r>
        <w:t>Validación del IBC para los tres segmentos urbanos.</w:t>
      </w:r>
    </w:p>
    <w:p>
      <w:pPr>
        <w:pStyle w:val="ListBullet"/>
      </w:pPr>
      <w:r>
        <w:t>Lectura final de los resultados de la regresión de pass-through y de la evidencia cross-product.</w:t>
      </w:r>
    </w:p>
    <w:p>
      <w:pPr>
        <w:pStyle w:val="ListBullet"/>
      </w:pPr>
      <w:r>
        <w:t>Escritura del veredicto integrado, las implicaciones de política y la conclusión.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