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3567C" w14:textId="77777777" w:rsidR="008928AE" w:rsidRPr="000E4B62" w:rsidRDefault="008928AE" w:rsidP="004154BC">
      <w:pPr>
        <w:jc w:val="center"/>
        <w:rPr>
          <w:rFonts w:ascii="Arial" w:hAnsi="Arial" w:cs="Arial"/>
          <w:b/>
          <w:sz w:val="24"/>
          <w:szCs w:val="24"/>
          <w:lang w:val="es-ES"/>
        </w:rPr>
      </w:pPr>
      <w:r w:rsidRPr="000E4B62">
        <w:rPr>
          <w:rFonts w:ascii="Arial" w:hAnsi="Arial" w:cs="Arial"/>
          <w:b/>
          <w:sz w:val="24"/>
          <w:szCs w:val="24"/>
          <w:lang w:val="es-ES"/>
        </w:rPr>
        <w:t>Superintendencia Financiera de Colombia</w:t>
      </w:r>
    </w:p>
    <w:p w14:paraId="40798B9E" w14:textId="77777777" w:rsidR="008928AE" w:rsidRPr="00A91A3B" w:rsidRDefault="008928AE" w:rsidP="008928AE">
      <w:pPr>
        <w:jc w:val="center"/>
        <w:rPr>
          <w:rFonts w:ascii="Arial" w:hAnsi="Arial" w:cs="Arial"/>
          <w:b/>
          <w:sz w:val="28"/>
          <w:lang w:val="es-ES"/>
        </w:rPr>
      </w:pPr>
    </w:p>
    <w:p w14:paraId="743E3AA6" w14:textId="0915A2F2" w:rsidR="00D03E37" w:rsidRPr="008659F8" w:rsidRDefault="00D03E37" w:rsidP="0013096E">
      <w:pPr>
        <w:pStyle w:val="Ttulo"/>
        <w:numPr>
          <w:ilvl w:val="0"/>
          <w:numId w:val="3"/>
        </w:numPr>
        <w:ind w:left="284" w:hanging="284"/>
        <w:rPr>
          <w:rFonts w:cs="Arial"/>
          <w:sz w:val="20"/>
        </w:rPr>
      </w:pPr>
      <w:r w:rsidRPr="008659F8">
        <w:rPr>
          <w:rFonts w:cs="Arial"/>
          <w:sz w:val="20"/>
        </w:rPr>
        <w:t>I</w:t>
      </w:r>
      <w:r w:rsidR="0013096E" w:rsidRPr="008659F8">
        <w:rPr>
          <w:rFonts w:cs="Arial"/>
          <w:sz w:val="20"/>
        </w:rPr>
        <w:t>ntroducción</w:t>
      </w:r>
    </w:p>
    <w:p w14:paraId="44B85EA2" w14:textId="77777777" w:rsidR="008659F8" w:rsidRPr="008659F8" w:rsidRDefault="008659F8" w:rsidP="00D03E37">
      <w:pPr>
        <w:jc w:val="both"/>
        <w:rPr>
          <w:rFonts w:ascii="Arial" w:hAnsi="Arial" w:cs="Arial"/>
          <w:sz w:val="20"/>
          <w:szCs w:val="20"/>
        </w:rPr>
      </w:pPr>
    </w:p>
    <w:p w14:paraId="125CDA02" w14:textId="47FEA089" w:rsidR="00D03E37" w:rsidRPr="008659F8" w:rsidRDefault="00D03E37" w:rsidP="00D03E37">
      <w:pPr>
        <w:jc w:val="both"/>
        <w:rPr>
          <w:rFonts w:ascii="Arial" w:hAnsi="Arial" w:cs="Arial"/>
          <w:sz w:val="20"/>
          <w:szCs w:val="20"/>
        </w:rPr>
      </w:pPr>
      <w:r w:rsidRPr="008659F8">
        <w:rPr>
          <w:rFonts w:ascii="Arial" w:hAnsi="Arial" w:cs="Arial"/>
          <w:sz w:val="20"/>
          <w:szCs w:val="20"/>
        </w:rPr>
        <w:t xml:space="preserve">Teniendo en cuenta las políticas </w:t>
      </w:r>
      <w:r w:rsidR="00DE5785" w:rsidRPr="008659F8">
        <w:rPr>
          <w:rFonts w:ascii="Arial" w:hAnsi="Arial" w:cs="Arial"/>
          <w:sz w:val="20"/>
          <w:szCs w:val="20"/>
        </w:rPr>
        <w:t xml:space="preserve">y directrices </w:t>
      </w:r>
      <w:r w:rsidRPr="008659F8">
        <w:rPr>
          <w:rFonts w:ascii="Arial" w:hAnsi="Arial" w:cs="Arial"/>
          <w:sz w:val="20"/>
          <w:szCs w:val="20"/>
        </w:rPr>
        <w:t>gubernamentales de Colombia y para atender las necesidades de información y centralización de datos</w:t>
      </w:r>
      <w:r w:rsidR="000A0E1F" w:rsidRPr="008659F8">
        <w:rPr>
          <w:rFonts w:ascii="Arial" w:hAnsi="Arial" w:cs="Arial"/>
          <w:sz w:val="20"/>
          <w:szCs w:val="20"/>
        </w:rPr>
        <w:t xml:space="preserve"> en formatos portables a cualquier medio</w:t>
      </w:r>
      <w:r w:rsidRPr="008659F8">
        <w:rPr>
          <w:rFonts w:ascii="Arial" w:hAnsi="Arial" w:cs="Arial"/>
          <w:sz w:val="20"/>
          <w:szCs w:val="20"/>
        </w:rPr>
        <w:t>, la Superintendencia Financiera de Colombia-SFC, adelantó el diseño, desarrollo y puesta en producción de los datos abiertos</w:t>
      </w:r>
      <w:r w:rsidR="00F34191" w:rsidRPr="008659F8">
        <w:rPr>
          <w:rFonts w:ascii="Arial" w:hAnsi="Arial" w:cs="Arial"/>
          <w:sz w:val="20"/>
          <w:szCs w:val="20"/>
        </w:rPr>
        <w:t xml:space="preserve"> de</w:t>
      </w:r>
      <w:r w:rsidR="00D01AAA" w:rsidRPr="008659F8">
        <w:rPr>
          <w:rFonts w:ascii="Arial" w:hAnsi="Arial" w:cs="Arial"/>
          <w:sz w:val="20"/>
          <w:szCs w:val="20"/>
        </w:rPr>
        <w:t xml:space="preserve"> las tasas de interés promedio ponderadas, los montos y el número de créditos desembolsados durante la semana para los diferentes tipo de crédito</w:t>
      </w:r>
      <w:r w:rsidR="00983585" w:rsidRPr="008659F8">
        <w:rPr>
          <w:rFonts w:ascii="Arial" w:hAnsi="Arial" w:cs="Arial"/>
          <w:sz w:val="20"/>
          <w:szCs w:val="20"/>
        </w:rPr>
        <w:t xml:space="preserve"> (consumo, vivienda, comercial ordinario, comercial preferencial o corporativo, comercial tesorería, comercial especial y </w:t>
      </w:r>
      <w:r w:rsidR="00C459B0">
        <w:rPr>
          <w:rFonts w:ascii="Arial" w:hAnsi="Arial" w:cs="Arial"/>
          <w:sz w:val="20"/>
          <w:szCs w:val="20"/>
        </w:rPr>
        <w:t>créditos productivos</w:t>
      </w:r>
      <w:r w:rsidR="00983585" w:rsidRPr="008659F8">
        <w:rPr>
          <w:rFonts w:ascii="Arial" w:hAnsi="Arial" w:cs="Arial"/>
          <w:sz w:val="20"/>
          <w:szCs w:val="20"/>
        </w:rPr>
        <w:t>)</w:t>
      </w:r>
      <w:r w:rsidR="00D01AAA" w:rsidRPr="008659F8">
        <w:rPr>
          <w:rFonts w:ascii="Arial" w:hAnsi="Arial" w:cs="Arial"/>
          <w:sz w:val="20"/>
          <w:szCs w:val="20"/>
        </w:rPr>
        <w:t>,</w:t>
      </w:r>
      <w:r w:rsidR="00DE6477" w:rsidRPr="008659F8">
        <w:rPr>
          <w:rFonts w:ascii="Arial" w:hAnsi="Arial" w:cs="Arial"/>
          <w:sz w:val="20"/>
          <w:szCs w:val="20"/>
        </w:rPr>
        <w:t xml:space="preserve"> </w:t>
      </w:r>
      <w:r w:rsidR="00C459B0" w:rsidRPr="00C459B0">
        <w:rPr>
          <w:rFonts w:ascii="Arial" w:hAnsi="Arial" w:cs="Arial"/>
          <w:sz w:val="20"/>
          <w:szCs w:val="20"/>
        </w:rPr>
        <w:t>clasificadas por tipo de persona, sexo, tamaño de empresa, tipo de crédito, tipo de garantía, producto de crédito, plazo del crédito, grupo étnico, antigüedad de la empresa, tipo de tasa, rango por monto desembolsado en salarios mínimos legales mensuales vigentes (SMLMV), clase de deudor, código CIIU y código del municipio, de los establecimientos de crédit</w:t>
      </w:r>
      <w:r w:rsidR="00C459B0">
        <w:rPr>
          <w:rFonts w:ascii="Arial" w:hAnsi="Arial" w:cs="Arial"/>
          <w:sz w:val="20"/>
          <w:szCs w:val="20"/>
        </w:rPr>
        <w:t>o-EC</w:t>
      </w:r>
      <w:r w:rsidR="00D01AAA" w:rsidRPr="008659F8">
        <w:rPr>
          <w:rFonts w:ascii="Arial" w:hAnsi="Arial" w:cs="Arial"/>
          <w:sz w:val="20"/>
          <w:szCs w:val="20"/>
        </w:rPr>
        <w:t xml:space="preserve"> </w:t>
      </w:r>
      <w:r w:rsidR="004839A1" w:rsidRPr="008659F8">
        <w:rPr>
          <w:rFonts w:ascii="Arial" w:hAnsi="Arial" w:cs="Arial"/>
          <w:sz w:val="20"/>
          <w:szCs w:val="20"/>
        </w:rPr>
        <w:t>y que t</w:t>
      </w:r>
      <w:r w:rsidRPr="008659F8">
        <w:rPr>
          <w:rFonts w:ascii="Arial" w:hAnsi="Arial" w:cs="Arial"/>
          <w:sz w:val="20"/>
          <w:szCs w:val="20"/>
        </w:rPr>
        <w:t xml:space="preserve">iene </w:t>
      </w:r>
      <w:r w:rsidR="00934588" w:rsidRPr="008659F8">
        <w:rPr>
          <w:rFonts w:ascii="Arial" w:hAnsi="Arial" w:cs="Arial"/>
          <w:sz w:val="20"/>
          <w:szCs w:val="20"/>
        </w:rPr>
        <w:t xml:space="preserve">como </w:t>
      </w:r>
      <w:r w:rsidR="004839A1" w:rsidRPr="008659F8">
        <w:rPr>
          <w:rFonts w:ascii="Arial" w:hAnsi="Arial" w:cs="Arial"/>
          <w:sz w:val="20"/>
          <w:szCs w:val="20"/>
        </w:rPr>
        <w:t xml:space="preserve">fuente </w:t>
      </w:r>
      <w:r w:rsidR="00A84C98" w:rsidRPr="008659F8">
        <w:rPr>
          <w:rFonts w:ascii="Arial" w:hAnsi="Arial" w:cs="Arial"/>
          <w:sz w:val="20"/>
          <w:szCs w:val="20"/>
        </w:rPr>
        <w:t xml:space="preserve">de información </w:t>
      </w:r>
      <w:r w:rsidRPr="008659F8">
        <w:rPr>
          <w:rFonts w:ascii="Arial" w:hAnsi="Arial" w:cs="Arial"/>
          <w:sz w:val="20"/>
          <w:szCs w:val="20"/>
        </w:rPr>
        <w:t xml:space="preserve">la proforma </w:t>
      </w:r>
      <w:r w:rsidR="000558D6" w:rsidRPr="008659F8">
        <w:rPr>
          <w:rFonts w:ascii="Arial" w:hAnsi="Arial" w:cs="Arial"/>
          <w:sz w:val="20"/>
          <w:szCs w:val="20"/>
        </w:rPr>
        <w:t>F.</w:t>
      </w:r>
      <w:r w:rsidRPr="008659F8">
        <w:rPr>
          <w:rFonts w:ascii="Arial" w:hAnsi="Arial" w:cs="Arial"/>
          <w:sz w:val="20"/>
          <w:szCs w:val="20"/>
        </w:rPr>
        <w:t>1000-</w:t>
      </w:r>
      <w:r w:rsidR="004839A1" w:rsidRPr="008659F8">
        <w:rPr>
          <w:rFonts w:ascii="Arial" w:hAnsi="Arial" w:cs="Arial"/>
          <w:sz w:val="20"/>
          <w:szCs w:val="20"/>
        </w:rPr>
        <w:t>1</w:t>
      </w:r>
      <w:r w:rsidR="00D01AAA" w:rsidRPr="008659F8">
        <w:rPr>
          <w:rFonts w:ascii="Arial" w:hAnsi="Arial" w:cs="Arial"/>
          <w:sz w:val="20"/>
          <w:szCs w:val="20"/>
        </w:rPr>
        <w:t>44</w:t>
      </w:r>
      <w:r w:rsidR="008D5395" w:rsidRPr="008659F8">
        <w:rPr>
          <w:rFonts w:ascii="Arial" w:hAnsi="Arial" w:cs="Arial"/>
          <w:sz w:val="20"/>
          <w:szCs w:val="20"/>
        </w:rPr>
        <w:t xml:space="preserve"> Formato</w:t>
      </w:r>
      <w:r w:rsidRPr="008659F8">
        <w:rPr>
          <w:rFonts w:ascii="Arial" w:hAnsi="Arial" w:cs="Arial"/>
          <w:sz w:val="20"/>
          <w:szCs w:val="20"/>
        </w:rPr>
        <w:t xml:space="preserve"> </w:t>
      </w:r>
      <w:r w:rsidR="004839A1" w:rsidRPr="008659F8">
        <w:rPr>
          <w:rFonts w:ascii="Arial" w:hAnsi="Arial" w:cs="Arial"/>
          <w:sz w:val="20"/>
          <w:szCs w:val="20"/>
        </w:rPr>
        <w:t>4</w:t>
      </w:r>
      <w:r w:rsidR="00D01AAA" w:rsidRPr="008659F8">
        <w:rPr>
          <w:rFonts w:ascii="Arial" w:hAnsi="Arial" w:cs="Arial"/>
          <w:sz w:val="20"/>
          <w:szCs w:val="20"/>
        </w:rPr>
        <w:t>14</w:t>
      </w:r>
      <w:r w:rsidR="004839A1" w:rsidRPr="008659F8">
        <w:rPr>
          <w:rFonts w:ascii="Arial" w:hAnsi="Arial" w:cs="Arial"/>
          <w:sz w:val="20"/>
          <w:szCs w:val="20"/>
        </w:rPr>
        <w:t xml:space="preserve"> transmitida</w:t>
      </w:r>
      <w:r w:rsidR="00D01AAA" w:rsidRPr="008659F8">
        <w:rPr>
          <w:rFonts w:ascii="Arial" w:hAnsi="Arial" w:cs="Arial"/>
          <w:sz w:val="20"/>
          <w:szCs w:val="20"/>
        </w:rPr>
        <w:t xml:space="preserve"> semanalmente</w:t>
      </w:r>
      <w:r w:rsidR="004839A1" w:rsidRPr="008659F8">
        <w:rPr>
          <w:rFonts w:ascii="Arial" w:hAnsi="Arial" w:cs="Arial"/>
          <w:sz w:val="20"/>
          <w:szCs w:val="20"/>
        </w:rPr>
        <w:t xml:space="preserve"> por los EC</w:t>
      </w:r>
      <w:r w:rsidR="00DE5785" w:rsidRPr="008659F8">
        <w:rPr>
          <w:rFonts w:ascii="Arial" w:hAnsi="Arial" w:cs="Arial"/>
          <w:sz w:val="20"/>
          <w:szCs w:val="20"/>
        </w:rPr>
        <w:t>.</w:t>
      </w:r>
    </w:p>
    <w:p w14:paraId="0F244131" w14:textId="37DC96F2" w:rsidR="00D03E37" w:rsidRPr="008659F8" w:rsidRDefault="00D03E37" w:rsidP="00D03E37">
      <w:pPr>
        <w:jc w:val="both"/>
        <w:rPr>
          <w:rFonts w:ascii="Arial" w:hAnsi="Arial" w:cs="Arial"/>
          <w:sz w:val="20"/>
          <w:szCs w:val="20"/>
        </w:rPr>
      </w:pPr>
      <w:r w:rsidRPr="008659F8">
        <w:rPr>
          <w:rFonts w:ascii="Arial" w:hAnsi="Arial" w:cs="Arial"/>
          <w:sz w:val="20"/>
          <w:szCs w:val="20"/>
        </w:rPr>
        <w:t xml:space="preserve">Las condiciones y elementos indispensables </w:t>
      </w:r>
      <w:r w:rsidR="00DE5785" w:rsidRPr="008659F8">
        <w:rPr>
          <w:rFonts w:ascii="Arial" w:hAnsi="Arial" w:cs="Arial"/>
          <w:sz w:val="20"/>
          <w:szCs w:val="20"/>
        </w:rPr>
        <w:t xml:space="preserve">con </w:t>
      </w:r>
      <w:r w:rsidRPr="008659F8">
        <w:rPr>
          <w:rFonts w:ascii="Arial" w:hAnsi="Arial" w:cs="Arial"/>
          <w:sz w:val="20"/>
          <w:szCs w:val="20"/>
        </w:rPr>
        <w:t xml:space="preserve">las que </w:t>
      </w:r>
      <w:r w:rsidR="00DE5785" w:rsidRPr="008659F8">
        <w:rPr>
          <w:rFonts w:ascii="Arial" w:hAnsi="Arial" w:cs="Arial"/>
          <w:sz w:val="20"/>
          <w:szCs w:val="20"/>
        </w:rPr>
        <w:t xml:space="preserve">se </w:t>
      </w:r>
      <w:proofErr w:type="gramStart"/>
      <w:r w:rsidR="00616A44" w:rsidRPr="008659F8">
        <w:rPr>
          <w:rFonts w:ascii="Arial" w:hAnsi="Arial" w:cs="Arial"/>
          <w:sz w:val="20"/>
          <w:szCs w:val="20"/>
        </w:rPr>
        <w:t>diseñó,</w:t>
      </w:r>
      <w:proofErr w:type="gramEnd"/>
      <w:r w:rsidR="00616A44" w:rsidRPr="008659F8">
        <w:rPr>
          <w:rFonts w:ascii="Arial" w:hAnsi="Arial" w:cs="Arial"/>
          <w:sz w:val="20"/>
          <w:szCs w:val="20"/>
        </w:rPr>
        <w:t xml:space="preserve"> </w:t>
      </w:r>
      <w:r w:rsidR="00AA0490" w:rsidRPr="008659F8">
        <w:rPr>
          <w:rFonts w:ascii="Arial" w:hAnsi="Arial" w:cs="Arial"/>
          <w:sz w:val="20"/>
          <w:szCs w:val="20"/>
        </w:rPr>
        <w:t>desarrollaron</w:t>
      </w:r>
      <w:r w:rsidRPr="008659F8">
        <w:rPr>
          <w:rFonts w:ascii="Arial" w:hAnsi="Arial" w:cs="Arial"/>
          <w:sz w:val="20"/>
          <w:szCs w:val="20"/>
        </w:rPr>
        <w:t xml:space="preserve"> </w:t>
      </w:r>
      <w:r w:rsidR="00DE5785" w:rsidRPr="008659F8">
        <w:rPr>
          <w:rFonts w:ascii="Arial" w:hAnsi="Arial" w:cs="Arial"/>
          <w:sz w:val="20"/>
          <w:szCs w:val="20"/>
        </w:rPr>
        <w:t xml:space="preserve">y postuló </w:t>
      </w:r>
      <w:r w:rsidRPr="008659F8">
        <w:rPr>
          <w:rFonts w:ascii="Arial" w:hAnsi="Arial" w:cs="Arial"/>
          <w:sz w:val="20"/>
          <w:szCs w:val="20"/>
        </w:rPr>
        <w:t>este modelo</w:t>
      </w:r>
      <w:r w:rsidR="00DE5785" w:rsidRPr="008659F8">
        <w:rPr>
          <w:rFonts w:ascii="Arial" w:hAnsi="Arial" w:cs="Arial"/>
          <w:sz w:val="20"/>
          <w:szCs w:val="20"/>
        </w:rPr>
        <w:t xml:space="preserve"> de datos abiertos, atienden </w:t>
      </w:r>
      <w:r w:rsidRPr="008659F8">
        <w:rPr>
          <w:rFonts w:ascii="Arial" w:hAnsi="Arial" w:cs="Arial"/>
          <w:sz w:val="20"/>
          <w:szCs w:val="20"/>
        </w:rPr>
        <w:t>principalmente las necesidades de información completa, legible, portable, identificable y manejable para diferentes tipos de usuarios, sean estos o no expertos en el tema que se expone.</w:t>
      </w:r>
    </w:p>
    <w:p w14:paraId="2884A661" w14:textId="77777777" w:rsidR="009D424B" w:rsidRPr="008659F8" w:rsidRDefault="009D424B" w:rsidP="00D03E37">
      <w:pPr>
        <w:jc w:val="both"/>
        <w:rPr>
          <w:rFonts w:ascii="Arial" w:hAnsi="Arial" w:cs="Arial"/>
          <w:sz w:val="20"/>
          <w:szCs w:val="20"/>
        </w:rPr>
      </w:pPr>
    </w:p>
    <w:p w14:paraId="7258CB26" w14:textId="300C9925" w:rsidR="00720CCB" w:rsidRPr="008659F8" w:rsidRDefault="00720CCB" w:rsidP="00720CCB">
      <w:pPr>
        <w:pStyle w:val="Ttulo"/>
        <w:numPr>
          <w:ilvl w:val="0"/>
          <w:numId w:val="3"/>
        </w:numPr>
        <w:tabs>
          <w:tab w:val="left" w:pos="284"/>
          <w:tab w:val="left" w:pos="426"/>
        </w:tabs>
        <w:spacing w:before="0"/>
        <w:ind w:left="142" w:hanging="142"/>
        <w:jc w:val="both"/>
        <w:rPr>
          <w:rFonts w:cs="Arial"/>
          <w:sz w:val="20"/>
        </w:rPr>
      </w:pPr>
      <w:r w:rsidRPr="008659F8">
        <w:rPr>
          <w:rFonts w:cs="Arial"/>
          <w:sz w:val="20"/>
        </w:rPr>
        <w:t>Justificación / Objetivo</w:t>
      </w:r>
    </w:p>
    <w:p w14:paraId="3D346E3C" w14:textId="77777777" w:rsidR="00720CCB" w:rsidRPr="008659F8" w:rsidRDefault="00720CCB" w:rsidP="00BC2BBE">
      <w:pPr>
        <w:pStyle w:val="Ttulo"/>
        <w:tabs>
          <w:tab w:val="left" w:pos="0"/>
        </w:tabs>
        <w:spacing w:before="0" w:after="0"/>
        <w:jc w:val="both"/>
        <w:rPr>
          <w:rFonts w:eastAsiaTheme="minorHAnsi" w:cs="Arial"/>
          <w:b w:val="0"/>
          <w:sz w:val="20"/>
          <w:lang w:val="es-CO" w:eastAsia="en-US"/>
        </w:rPr>
      </w:pPr>
    </w:p>
    <w:p w14:paraId="2058910D" w14:textId="634C9CD2" w:rsidR="00BC2BBE" w:rsidRPr="008659F8" w:rsidRDefault="00BC2BBE" w:rsidP="00BC2BBE">
      <w:pPr>
        <w:pStyle w:val="Ttulo"/>
        <w:tabs>
          <w:tab w:val="left" w:pos="0"/>
        </w:tabs>
        <w:spacing w:before="0" w:after="0"/>
        <w:jc w:val="both"/>
        <w:rPr>
          <w:rFonts w:eastAsiaTheme="minorHAnsi" w:cs="Arial"/>
          <w:b w:val="0"/>
          <w:sz w:val="20"/>
          <w:lang w:val="es-CO" w:eastAsia="en-US"/>
        </w:rPr>
      </w:pPr>
      <w:r w:rsidRPr="008659F8">
        <w:rPr>
          <w:rFonts w:eastAsiaTheme="minorHAnsi" w:cs="Arial"/>
          <w:b w:val="0"/>
          <w:sz w:val="20"/>
          <w:lang w:val="es-CO" w:eastAsia="en-US"/>
        </w:rPr>
        <w:t xml:space="preserve">La información detallada en este conjunto de datos tiene por objeto apoyar </w:t>
      </w:r>
      <w:r w:rsidR="002A7CAA">
        <w:rPr>
          <w:rFonts w:eastAsiaTheme="minorHAnsi" w:cs="Arial"/>
          <w:b w:val="0"/>
          <w:sz w:val="20"/>
          <w:lang w:val="es-CO" w:eastAsia="en-US"/>
        </w:rPr>
        <w:t>al análisis de las condiciones de crédito que están evidenciado los nuevos desembolsos de</w:t>
      </w:r>
      <w:r w:rsidRPr="008659F8">
        <w:rPr>
          <w:rFonts w:eastAsiaTheme="minorHAnsi" w:cs="Arial"/>
          <w:b w:val="0"/>
          <w:sz w:val="20"/>
          <w:lang w:val="es-CO" w:eastAsia="en-US"/>
        </w:rPr>
        <w:t xml:space="preserve"> l</w:t>
      </w:r>
      <w:r w:rsidR="002A7CAA">
        <w:rPr>
          <w:rFonts w:eastAsiaTheme="minorHAnsi" w:cs="Arial"/>
          <w:b w:val="0"/>
          <w:sz w:val="20"/>
          <w:lang w:val="es-CO" w:eastAsia="en-US"/>
        </w:rPr>
        <w:t>os establecimientos de crédito</w:t>
      </w:r>
      <w:r w:rsidRPr="008659F8">
        <w:rPr>
          <w:rFonts w:eastAsiaTheme="minorHAnsi" w:cs="Arial"/>
          <w:b w:val="0"/>
          <w:sz w:val="20"/>
          <w:lang w:val="es-CO" w:eastAsia="en-US"/>
        </w:rPr>
        <w:t xml:space="preserve">. </w:t>
      </w:r>
    </w:p>
    <w:p w14:paraId="00C161F7" w14:textId="77777777" w:rsidR="00BC2BBE" w:rsidRPr="008659F8" w:rsidRDefault="00BC2BBE" w:rsidP="00BC2BBE">
      <w:pPr>
        <w:pStyle w:val="Ttulo"/>
        <w:tabs>
          <w:tab w:val="left" w:pos="284"/>
          <w:tab w:val="left" w:pos="426"/>
        </w:tabs>
        <w:spacing w:before="0" w:after="0"/>
        <w:ind w:left="360"/>
        <w:jc w:val="both"/>
        <w:rPr>
          <w:rFonts w:eastAsiaTheme="minorHAnsi" w:cs="Arial"/>
          <w:b w:val="0"/>
          <w:sz w:val="20"/>
          <w:lang w:val="es-CO" w:eastAsia="en-US"/>
        </w:rPr>
      </w:pPr>
    </w:p>
    <w:p w14:paraId="15D7E3BA" w14:textId="77777777" w:rsidR="00BC2BBE" w:rsidRPr="008659F8" w:rsidRDefault="00BC2BBE" w:rsidP="00BC2BBE">
      <w:pPr>
        <w:spacing w:after="0" w:line="240" w:lineRule="auto"/>
        <w:jc w:val="both"/>
        <w:rPr>
          <w:rFonts w:ascii="Arial" w:hAnsi="Arial" w:cs="Arial"/>
          <w:sz w:val="20"/>
          <w:szCs w:val="20"/>
        </w:rPr>
      </w:pPr>
      <w:r w:rsidRPr="008659F8">
        <w:rPr>
          <w:rFonts w:ascii="Arial" w:hAnsi="Arial" w:cs="Arial"/>
          <w:sz w:val="20"/>
          <w:szCs w:val="20"/>
        </w:rPr>
        <w:t xml:space="preserve">La divulgación de estos datos en un esquema de datos abiertos en la plataforma del Ministerio de Tecnologías de la Información y las Comunicaciones- MINTIC permite al usuario realizar análisis detallados y reutilización de los datos, con el fin de promover el fortalecimiento de la transparencia, eficiencia, participación ciudadana y generación de nuevos conocimientos del sector financiero. </w:t>
      </w:r>
    </w:p>
    <w:p w14:paraId="4D957F3E" w14:textId="03EF8E51" w:rsidR="00194305" w:rsidRPr="008659F8" w:rsidRDefault="00A52A7D" w:rsidP="00BC2BBE">
      <w:pPr>
        <w:tabs>
          <w:tab w:val="left" w:pos="0"/>
        </w:tabs>
        <w:jc w:val="both"/>
        <w:rPr>
          <w:rFonts w:ascii="Arial" w:hAnsi="Arial" w:cs="Arial"/>
          <w:sz w:val="20"/>
          <w:szCs w:val="20"/>
        </w:rPr>
      </w:pPr>
      <w:r w:rsidRPr="008659F8">
        <w:rPr>
          <w:rFonts w:ascii="Arial" w:hAnsi="Arial" w:cs="Arial"/>
          <w:sz w:val="20"/>
          <w:szCs w:val="20"/>
        </w:rPr>
        <w:t xml:space="preserve"> </w:t>
      </w:r>
    </w:p>
    <w:p w14:paraId="483F4E53" w14:textId="54ECE0AE" w:rsidR="00194305" w:rsidRPr="008659F8" w:rsidRDefault="00A91A3B" w:rsidP="0013096E">
      <w:pPr>
        <w:pStyle w:val="Prrafodelista"/>
        <w:numPr>
          <w:ilvl w:val="0"/>
          <w:numId w:val="3"/>
        </w:numPr>
        <w:tabs>
          <w:tab w:val="left" w:pos="284"/>
        </w:tabs>
        <w:ind w:left="0" w:firstLine="0"/>
        <w:rPr>
          <w:rFonts w:ascii="Arial" w:hAnsi="Arial" w:cs="Arial"/>
          <w:b/>
          <w:sz w:val="20"/>
          <w:szCs w:val="20"/>
          <w:lang w:val="es-ES"/>
        </w:rPr>
      </w:pPr>
      <w:r w:rsidRPr="008659F8">
        <w:rPr>
          <w:rFonts w:ascii="Arial" w:hAnsi="Arial" w:cs="Arial"/>
          <w:b/>
          <w:sz w:val="20"/>
          <w:szCs w:val="20"/>
          <w:lang w:val="es-ES"/>
        </w:rPr>
        <w:t>Descripción</w:t>
      </w:r>
    </w:p>
    <w:p w14:paraId="5AD14BAF" w14:textId="46ABEB81" w:rsidR="00194305" w:rsidRDefault="00C459B0" w:rsidP="00C459B0">
      <w:pPr>
        <w:spacing w:line="240" w:lineRule="auto"/>
        <w:jc w:val="both"/>
        <w:rPr>
          <w:rFonts w:ascii="Arial" w:hAnsi="Arial" w:cs="Arial"/>
          <w:sz w:val="20"/>
          <w:szCs w:val="20"/>
        </w:rPr>
      </w:pPr>
      <w:r w:rsidRPr="00C459B0">
        <w:rPr>
          <w:rFonts w:ascii="Arial" w:hAnsi="Arial" w:cs="Arial"/>
          <w:sz w:val="20"/>
          <w:szCs w:val="20"/>
        </w:rPr>
        <w:t>La información corresponde a las tasas de interés promedio ponderadas, el monto y el número de créditos</w:t>
      </w:r>
      <w:r>
        <w:rPr>
          <w:rFonts w:ascii="Arial" w:hAnsi="Arial" w:cs="Arial"/>
          <w:sz w:val="20"/>
          <w:szCs w:val="20"/>
        </w:rPr>
        <w:t xml:space="preserve"> </w:t>
      </w:r>
      <w:r w:rsidRPr="00C459B0">
        <w:rPr>
          <w:rFonts w:ascii="Arial" w:hAnsi="Arial" w:cs="Arial"/>
          <w:sz w:val="20"/>
          <w:szCs w:val="20"/>
        </w:rPr>
        <w:t>desembolsados durante la semana para los diferentes tipos de crédito (consumo, vivienda, comercial ordinario,</w:t>
      </w:r>
      <w:r>
        <w:rPr>
          <w:rFonts w:ascii="Arial" w:hAnsi="Arial" w:cs="Arial"/>
          <w:sz w:val="20"/>
          <w:szCs w:val="20"/>
        </w:rPr>
        <w:t xml:space="preserve"> </w:t>
      </w:r>
      <w:r w:rsidRPr="00C459B0">
        <w:rPr>
          <w:rFonts w:ascii="Arial" w:hAnsi="Arial" w:cs="Arial"/>
          <w:sz w:val="20"/>
          <w:szCs w:val="20"/>
        </w:rPr>
        <w:t>comercial preferencial o corporativo, comercial tesorería, comercial especial y créditos productivos), clasificadas por tipo de persona, sexo, tamaño de empresa, tipo de crédito, tipo de garantía, producto de crédito, plazo del crédito, grupo étnico, antigüedad de la empresa, tipo de tasa, rango por monto desembolsado en salarios mínimos legales mensuales vigentes (SMLMV), clase de deudor, código CIIU y código del municipio, de los establecimientos de crédito.</w:t>
      </w:r>
    </w:p>
    <w:p w14:paraId="7DF5A3BA" w14:textId="77777777" w:rsidR="00C459B0" w:rsidRPr="00C459B0" w:rsidRDefault="00C459B0" w:rsidP="00C459B0">
      <w:pPr>
        <w:spacing w:line="240" w:lineRule="auto"/>
        <w:jc w:val="both"/>
        <w:rPr>
          <w:rFonts w:ascii="Arial" w:hAnsi="Arial" w:cs="Arial"/>
          <w:sz w:val="20"/>
          <w:szCs w:val="20"/>
        </w:rPr>
      </w:pPr>
    </w:p>
    <w:p w14:paraId="2A51611A" w14:textId="65DC86F0" w:rsidR="00A91A3B" w:rsidRPr="008659F8" w:rsidRDefault="00A91A3B" w:rsidP="0013096E">
      <w:pPr>
        <w:pStyle w:val="Prrafodelista"/>
        <w:numPr>
          <w:ilvl w:val="0"/>
          <w:numId w:val="3"/>
        </w:numPr>
        <w:spacing w:line="240" w:lineRule="auto"/>
        <w:ind w:left="284" w:hanging="284"/>
        <w:jc w:val="both"/>
        <w:rPr>
          <w:rFonts w:ascii="Arial" w:hAnsi="Arial" w:cs="Arial"/>
          <w:b/>
          <w:sz w:val="20"/>
          <w:szCs w:val="20"/>
          <w:lang w:val="es-ES"/>
        </w:rPr>
      </w:pPr>
      <w:r w:rsidRPr="008659F8">
        <w:rPr>
          <w:rFonts w:ascii="Arial" w:hAnsi="Arial" w:cs="Arial"/>
          <w:b/>
          <w:sz w:val="20"/>
          <w:szCs w:val="20"/>
          <w:lang w:val="es-ES"/>
        </w:rPr>
        <w:t>Antecedentes</w:t>
      </w:r>
    </w:p>
    <w:p w14:paraId="4F8AD129" w14:textId="5495599D" w:rsidR="00B91961" w:rsidRPr="008659F8" w:rsidRDefault="00B91961" w:rsidP="0013096E">
      <w:pPr>
        <w:spacing w:line="240" w:lineRule="auto"/>
        <w:contextualSpacing/>
        <w:jc w:val="both"/>
        <w:rPr>
          <w:rFonts w:ascii="Arial" w:hAnsi="Arial" w:cs="Arial"/>
          <w:sz w:val="20"/>
          <w:szCs w:val="20"/>
        </w:rPr>
      </w:pPr>
      <w:r w:rsidRPr="008659F8">
        <w:rPr>
          <w:rFonts w:ascii="Arial" w:hAnsi="Arial" w:cs="Arial"/>
          <w:sz w:val="20"/>
          <w:szCs w:val="20"/>
        </w:rPr>
        <w:t xml:space="preserve">Proforma </w:t>
      </w:r>
      <w:r w:rsidR="00FE4367" w:rsidRPr="008659F8">
        <w:rPr>
          <w:rFonts w:ascii="Arial" w:hAnsi="Arial" w:cs="Arial"/>
          <w:sz w:val="20"/>
          <w:szCs w:val="20"/>
        </w:rPr>
        <w:t>F.</w:t>
      </w:r>
      <w:r w:rsidRPr="008659F8">
        <w:rPr>
          <w:rFonts w:ascii="Arial" w:hAnsi="Arial" w:cs="Arial"/>
          <w:sz w:val="20"/>
          <w:szCs w:val="20"/>
        </w:rPr>
        <w:t>1000-1</w:t>
      </w:r>
      <w:r w:rsidR="00D01AAA" w:rsidRPr="008659F8">
        <w:rPr>
          <w:rFonts w:ascii="Arial" w:hAnsi="Arial" w:cs="Arial"/>
          <w:sz w:val="20"/>
          <w:szCs w:val="20"/>
        </w:rPr>
        <w:t>44</w:t>
      </w:r>
      <w:r w:rsidRPr="008659F8">
        <w:rPr>
          <w:rFonts w:ascii="Arial" w:hAnsi="Arial" w:cs="Arial"/>
          <w:sz w:val="20"/>
          <w:szCs w:val="20"/>
        </w:rPr>
        <w:t>, formato 4</w:t>
      </w:r>
      <w:r w:rsidR="00D01AAA" w:rsidRPr="008659F8">
        <w:rPr>
          <w:rFonts w:ascii="Arial" w:hAnsi="Arial" w:cs="Arial"/>
          <w:sz w:val="20"/>
          <w:szCs w:val="20"/>
        </w:rPr>
        <w:t>14</w:t>
      </w:r>
    </w:p>
    <w:p w14:paraId="656BF05B" w14:textId="0C39ECEA" w:rsidR="008659F8" w:rsidRPr="008659F8" w:rsidRDefault="00B91961" w:rsidP="0013096E">
      <w:pPr>
        <w:spacing w:line="240" w:lineRule="auto"/>
        <w:contextualSpacing/>
        <w:jc w:val="both"/>
        <w:rPr>
          <w:rFonts w:ascii="Arial" w:hAnsi="Arial" w:cs="Arial"/>
          <w:sz w:val="20"/>
          <w:szCs w:val="20"/>
        </w:rPr>
      </w:pPr>
      <w:r w:rsidRPr="008659F8">
        <w:rPr>
          <w:rFonts w:ascii="Arial" w:hAnsi="Arial" w:cs="Arial"/>
          <w:sz w:val="20"/>
          <w:szCs w:val="20"/>
        </w:rPr>
        <w:t xml:space="preserve">Anexo 1 </w:t>
      </w:r>
      <w:r w:rsidR="002804CB">
        <w:rPr>
          <w:rFonts w:ascii="Arial" w:hAnsi="Arial" w:cs="Arial"/>
          <w:sz w:val="20"/>
          <w:szCs w:val="20"/>
        </w:rPr>
        <w:t>C</w:t>
      </w:r>
      <w:r w:rsidRPr="008659F8">
        <w:rPr>
          <w:rFonts w:ascii="Arial" w:hAnsi="Arial" w:cs="Arial"/>
          <w:sz w:val="20"/>
          <w:szCs w:val="20"/>
        </w:rPr>
        <w:t>ircular básica contable y financiera:</w:t>
      </w:r>
    </w:p>
    <w:p w14:paraId="24AA2E20" w14:textId="53AB15B0" w:rsidR="00B91961" w:rsidRPr="0013096E" w:rsidRDefault="00000000" w:rsidP="0013096E">
      <w:pPr>
        <w:spacing w:line="240" w:lineRule="auto"/>
        <w:contextualSpacing/>
        <w:jc w:val="both"/>
        <w:rPr>
          <w:rFonts w:ascii="Arial" w:hAnsi="Arial" w:cs="Arial"/>
          <w:bCs/>
          <w:lang w:val="es-ES"/>
        </w:rPr>
      </w:pPr>
      <w:hyperlink r:id="rId7" w:history="1">
        <w:r w:rsidR="00B91961" w:rsidRPr="0013096E">
          <w:rPr>
            <w:rStyle w:val="Hipervnculo"/>
            <w:rFonts w:ascii="Arial" w:hAnsi="Arial" w:cs="Arial"/>
            <w:bCs/>
            <w:lang w:val="es-ES"/>
          </w:rPr>
          <w:t>https://www.superfinanciera.gov.co/jsp/15466</w:t>
        </w:r>
      </w:hyperlink>
    </w:p>
    <w:sectPr w:rsidR="00B91961" w:rsidRPr="0013096E">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55261" w14:textId="77777777" w:rsidR="004F5DC8" w:rsidRDefault="004F5DC8" w:rsidP="00FB6493">
      <w:pPr>
        <w:spacing w:after="0" w:line="240" w:lineRule="auto"/>
      </w:pPr>
      <w:r>
        <w:separator/>
      </w:r>
    </w:p>
  </w:endnote>
  <w:endnote w:type="continuationSeparator" w:id="0">
    <w:p w14:paraId="6CFAF51D" w14:textId="77777777" w:rsidR="004F5DC8" w:rsidRDefault="004F5DC8" w:rsidP="00FB6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32D44" w14:textId="77777777" w:rsidR="004154BC" w:rsidRDefault="004154B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7D2F8" w14:textId="77777777" w:rsidR="004154BC" w:rsidRDefault="004154B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B779C" w14:textId="77777777" w:rsidR="004154BC" w:rsidRDefault="004154B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6DF4A" w14:textId="77777777" w:rsidR="004F5DC8" w:rsidRDefault="004F5DC8" w:rsidP="00FB6493">
      <w:pPr>
        <w:spacing w:after="0" w:line="240" w:lineRule="auto"/>
      </w:pPr>
      <w:r>
        <w:separator/>
      </w:r>
    </w:p>
  </w:footnote>
  <w:footnote w:type="continuationSeparator" w:id="0">
    <w:p w14:paraId="7FB2F2FC" w14:textId="77777777" w:rsidR="004F5DC8" w:rsidRDefault="004F5DC8" w:rsidP="00FB64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EC5B8" w14:textId="77777777" w:rsidR="004154BC" w:rsidRDefault="004154B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1136E" w14:textId="024B602D" w:rsidR="00FB6493" w:rsidRDefault="004154BC">
    <w:pPr>
      <w:pStyle w:val="Encabezado"/>
    </w:pPr>
    <w:r>
      <w:rPr>
        <w:noProof/>
      </w:rPr>
      <w:drawing>
        <wp:anchor distT="0" distB="0" distL="114300" distR="114300" simplePos="0" relativeHeight="251659264" behindDoc="0" locked="0" layoutInCell="1" allowOverlap="1" wp14:anchorId="0974AA5F" wp14:editId="48FA147C">
          <wp:simplePos x="0" y="0"/>
          <wp:positionH relativeFrom="column">
            <wp:posOffset>-3810</wp:posOffset>
          </wp:positionH>
          <wp:positionV relativeFrom="paragraph">
            <wp:posOffset>-220980</wp:posOffset>
          </wp:positionV>
          <wp:extent cx="971550" cy="609600"/>
          <wp:effectExtent l="0" t="0" r="0" b="0"/>
          <wp:wrapSquare wrapText="bothSides"/>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609600"/>
                  </a:xfrm>
                  <a:prstGeom prst="rect">
                    <a:avLst/>
                  </a:prstGeom>
                  <a:noFill/>
                </pic:spPr>
              </pic:pic>
            </a:graphicData>
          </a:graphic>
          <wp14:sizeRelH relativeFrom="margin">
            <wp14:pctWidth>0</wp14:pctWidth>
          </wp14:sizeRelH>
          <wp14:sizeRelV relativeFrom="margin">
            <wp14:pctHeight>0</wp14:pctHeight>
          </wp14:sizeRelV>
        </wp:anchor>
      </w:drawing>
    </w:r>
    <w:r>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E70F7" w14:textId="77777777" w:rsidR="004154BC" w:rsidRDefault="004154B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3256B5"/>
    <w:multiLevelType w:val="hybridMultilevel"/>
    <w:tmpl w:val="ADBA37FC"/>
    <w:lvl w:ilvl="0" w:tplc="240A0001">
      <w:start w:val="1"/>
      <w:numFmt w:val="bullet"/>
      <w:lvlText w:val=""/>
      <w:lvlJc w:val="left"/>
      <w:pPr>
        <w:ind w:left="720" w:hanging="360"/>
      </w:pPr>
      <w:rPr>
        <w:rFonts w:ascii="Symbol" w:hAnsi="Symbol"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6E84F1A"/>
    <w:multiLevelType w:val="hybridMultilevel"/>
    <w:tmpl w:val="2FA6598A"/>
    <w:lvl w:ilvl="0" w:tplc="C11A954A">
      <w:numFmt w:val="bullet"/>
      <w:lvlText w:val="-"/>
      <w:lvlJc w:val="left"/>
      <w:pPr>
        <w:ind w:left="360" w:hanging="360"/>
      </w:pPr>
      <w:rPr>
        <w:rFonts w:ascii="Arial" w:eastAsia="Times New Roman"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68125345"/>
    <w:multiLevelType w:val="hybridMultilevel"/>
    <w:tmpl w:val="802A738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68FB3A0C"/>
    <w:multiLevelType w:val="hybridMultilevel"/>
    <w:tmpl w:val="254E7F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35436566">
    <w:abstractNumId w:val="0"/>
  </w:num>
  <w:num w:numId="2" w16cid:durableId="2110849341">
    <w:abstractNumId w:val="2"/>
  </w:num>
  <w:num w:numId="3" w16cid:durableId="2134402369">
    <w:abstractNumId w:val="3"/>
  </w:num>
  <w:num w:numId="4" w16cid:durableId="1090463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8AE"/>
    <w:rsid w:val="000040FC"/>
    <w:rsid w:val="000558D6"/>
    <w:rsid w:val="00086F7E"/>
    <w:rsid w:val="000A0E1F"/>
    <w:rsid w:val="000E4B62"/>
    <w:rsid w:val="0013096E"/>
    <w:rsid w:val="00154FCB"/>
    <w:rsid w:val="00185A80"/>
    <w:rsid w:val="00194305"/>
    <w:rsid w:val="001D5461"/>
    <w:rsid w:val="00271C0E"/>
    <w:rsid w:val="002729F8"/>
    <w:rsid w:val="002804CB"/>
    <w:rsid w:val="002A7CAA"/>
    <w:rsid w:val="00334829"/>
    <w:rsid w:val="00337C2A"/>
    <w:rsid w:val="003B3E8B"/>
    <w:rsid w:val="004154BC"/>
    <w:rsid w:val="004839A1"/>
    <w:rsid w:val="004C062C"/>
    <w:rsid w:val="004E014C"/>
    <w:rsid w:val="004F5DC8"/>
    <w:rsid w:val="0050501B"/>
    <w:rsid w:val="00586450"/>
    <w:rsid w:val="005B0246"/>
    <w:rsid w:val="00616A44"/>
    <w:rsid w:val="006279C2"/>
    <w:rsid w:val="00720CCB"/>
    <w:rsid w:val="007C29E0"/>
    <w:rsid w:val="007C5BCA"/>
    <w:rsid w:val="007E3237"/>
    <w:rsid w:val="007E6EB2"/>
    <w:rsid w:val="007E72B3"/>
    <w:rsid w:val="00807379"/>
    <w:rsid w:val="008659F8"/>
    <w:rsid w:val="00891F2C"/>
    <w:rsid w:val="008928AE"/>
    <w:rsid w:val="008C166C"/>
    <w:rsid w:val="008D5395"/>
    <w:rsid w:val="00934588"/>
    <w:rsid w:val="009377C2"/>
    <w:rsid w:val="00983585"/>
    <w:rsid w:val="009D424B"/>
    <w:rsid w:val="00A21BC9"/>
    <w:rsid w:val="00A52A7D"/>
    <w:rsid w:val="00A6016B"/>
    <w:rsid w:val="00A84C98"/>
    <w:rsid w:val="00A91A3B"/>
    <w:rsid w:val="00AA0490"/>
    <w:rsid w:val="00B100A2"/>
    <w:rsid w:val="00B72BB4"/>
    <w:rsid w:val="00B91961"/>
    <w:rsid w:val="00BC2BBE"/>
    <w:rsid w:val="00C44A05"/>
    <w:rsid w:val="00C459B0"/>
    <w:rsid w:val="00C94480"/>
    <w:rsid w:val="00CC3723"/>
    <w:rsid w:val="00D01AAA"/>
    <w:rsid w:val="00D03E37"/>
    <w:rsid w:val="00DE452A"/>
    <w:rsid w:val="00DE5785"/>
    <w:rsid w:val="00DE6477"/>
    <w:rsid w:val="00DF2F13"/>
    <w:rsid w:val="00F2099E"/>
    <w:rsid w:val="00F34191"/>
    <w:rsid w:val="00F64867"/>
    <w:rsid w:val="00FB6493"/>
    <w:rsid w:val="00FE43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777F"/>
  <w15:chartTrackingRefBased/>
  <w15:docId w15:val="{080F4543-8EDC-4EA3-AC15-5C910A28C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928AE"/>
    <w:pPr>
      <w:spacing w:after="0" w:line="240" w:lineRule="auto"/>
    </w:pPr>
  </w:style>
  <w:style w:type="paragraph" w:styleId="Encabezado">
    <w:name w:val="header"/>
    <w:basedOn w:val="Normal"/>
    <w:link w:val="EncabezadoCar"/>
    <w:uiPriority w:val="99"/>
    <w:unhideWhenUsed/>
    <w:rsid w:val="00FB64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6493"/>
  </w:style>
  <w:style w:type="paragraph" w:styleId="Piedepgina">
    <w:name w:val="footer"/>
    <w:basedOn w:val="Normal"/>
    <w:link w:val="PiedepginaCar"/>
    <w:uiPriority w:val="99"/>
    <w:unhideWhenUsed/>
    <w:rsid w:val="00FB64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6493"/>
  </w:style>
  <w:style w:type="paragraph" w:styleId="Ttulo">
    <w:name w:val="Title"/>
    <w:basedOn w:val="Normal"/>
    <w:link w:val="TtuloCar"/>
    <w:qFormat/>
    <w:rsid w:val="00D03E37"/>
    <w:pPr>
      <w:spacing w:before="240" w:after="60" w:line="240" w:lineRule="auto"/>
      <w:outlineLvl w:val="0"/>
    </w:pPr>
    <w:rPr>
      <w:rFonts w:ascii="Arial" w:eastAsia="Times New Roman" w:hAnsi="Arial" w:cs="Calibri"/>
      <w:b/>
      <w:szCs w:val="20"/>
      <w:lang w:val="es-ES" w:eastAsia="es-ES"/>
    </w:rPr>
  </w:style>
  <w:style w:type="character" w:customStyle="1" w:styleId="TtuloCar">
    <w:name w:val="Título Car"/>
    <w:basedOn w:val="Fuentedeprrafopredeter"/>
    <w:link w:val="Ttulo"/>
    <w:rsid w:val="00D03E37"/>
    <w:rPr>
      <w:rFonts w:ascii="Arial" w:eastAsia="Times New Roman" w:hAnsi="Arial" w:cs="Calibri"/>
      <w:b/>
      <w:szCs w:val="20"/>
      <w:lang w:val="es-ES" w:eastAsia="es-ES"/>
    </w:rPr>
  </w:style>
  <w:style w:type="paragraph" w:styleId="Prrafodelista">
    <w:name w:val="List Paragraph"/>
    <w:basedOn w:val="Normal"/>
    <w:uiPriority w:val="34"/>
    <w:qFormat/>
    <w:rsid w:val="00D03E37"/>
    <w:pPr>
      <w:ind w:left="720"/>
      <w:contextualSpacing/>
    </w:pPr>
  </w:style>
  <w:style w:type="table" w:styleId="Tablaconcuadrcula">
    <w:name w:val="Table Grid"/>
    <w:basedOn w:val="Tablanormal"/>
    <w:uiPriority w:val="39"/>
    <w:rsid w:val="007E6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91961"/>
    <w:rPr>
      <w:color w:val="0563C1" w:themeColor="hyperlink"/>
      <w:u w:val="single"/>
    </w:rPr>
  </w:style>
  <w:style w:type="character" w:styleId="Mencinsinresolver">
    <w:name w:val="Unresolved Mention"/>
    <w:basedOn w:val="Fuentedeprrafopredeter"/>
    <w:uiPriority w:val="99"/>
    <w:semiHidden/>
    <w:unhideWhenUsed/>
    <w:rsid w:val="00B91961"/>
    <w:rPr>
      <w:color w:val="605E5C"/>
      <w:shd w:val="clear" w:color="auto" w:fill="E1DFDD"/>
    </w:rPr>
  </w:style>
  <w:style w:type="character" w:styleId="Textodelmarcadordeposicin">
    <w:name w:val="Placeholder Text"/>
    <w:basedOn w:val="Fuentedeprrafopredeter"/>
    <w:uiPriority w:val="99"/>
    <w:semiHidden/>
    <w:rsid w:val="00D01AAA"/>
    <w:rPr>
      <w:color w:val="808080"/>
    </w:rPr>
  </w:style>
  <w:style w:type="character" w:styleId="Hipervnculovisitado">
    <w:name w:val="FollowedHyperlink"/>
    <w:basedOn w:val="Fuentedeprrafopredeter"/>
    <w:uiPriority w:val="99"/>
    <w:semiHidden/>
    <w:unhideWhenUsed/>
    <w:rsid w:val="00C459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165540">
      <w:bodyDiv w:val="1"/>
      <w:marLeft w:val="0"/>
      <w:marRight w:val="0"/>
      <w:marTop w:val="0"/>
      <w:marBottom w:val="0"/>
      <w:divBdr>
        <w:top w:val="none" w:sz="0" w:space="0" w:color="auto"/>
        <w:left w:val="none" w:sz="0" w:space="0" w:color="auto"/>
        <w:bottom w:val="none" w:sz="0" w:space="0" w:color="auto"/>
        <w:right w:val="none" w:sz="0" w:space="0" w:color="auto"/>
      </w:divBdr>
      <w:divsChild>
        <w:div w:id="1336492509">
          <w:marLeft w:val="0"/>
          <w:marRight w:val="0"/>
          <w:marTop w:val="0"/>
          <w:marBottom w:val="0"/>
          <w:divBdr>
            <w:top w:val="none" w:sz="0" w:space="0" w:color="auto"/>
            <w:left w:val="none" w:sz="0" w:space="0" w:color="auto"/>
            <w:bottom w:val="none" w:sz="0" w:space="0" w:color="auto"/>
            <w:right w:val="none" w:sz="0" w:space="0" w:color="auto"/>
          </w:divBdr>
        </w:div>
        <w:div w:id="1705248392">
          <w:marLeft w:val="0"/>
          <w:marRight w:val="0"/>
          <w:marTop w:val="0"/>
          <w:marBottom w:val="0"/>
          <w:divBdr>
            <w:top w:val="none" w:sz="0" w:space="0" w:color="auto"/>
            <w:left w:val="none" w:sz="0" w:space="0" w:color="auto"/>
            <w:bottom w:val="none" w:sz="0" w:space="0" w:color="auto"/>
            <w:right w:val="none" w:sz="0" w:space="0" w:color="auto"/>
          </w:divBdr>
        </w:div>
        <w:div w:id="495386864">
          <w:marLeft w:val="0"/>
          <w:marRight w:val="0"/>
          <w:marTop w:val="0"/>
          <w:marBottom w:val="0"/>
          <w:divBdr>
            <w:top w:val="none" w:sz="0" w:space="0" w:color="auto"/>
            <w:left w:val="none" w:sz="0" w:space="0" w:color="auto"/>
            <w:bottom w:val="none" w:sz="0" w:space="0" w:color="auto"/>
            <w:right w:val="none" w:sz="0" w:space="0" w:color="auto"/>
          </w:divBdr>
        </w:div>
        <w:div w:id="1896550287">
          <w:marLeft w:val="0"/>
          <w:marRight w:val="0"/>
          <w:marTop w:val="0"/>
          <w:marBottom w:val="0"/>
          <w:divBdr>
            <w:top w:val="none" w:sz="0" w:space="0" w:color="auto"/>
            <w:left w:val="none" w:sz="0" w:space="0" w:color="auto"/>
            <w:bottom w:val="none" w:sz="0" w:space="0" w:color="auto"/>
            <w:right w:val="none" w:sz="0" w:space="0" w:color="auto"/>
          </w:divBdr>
        </w:div>
        <w:div w:id="2031179178">
          <w:marLeft w:val="0"/>
          <w:marRight w:val="0"/>
          <w:marTop w:val="0"/>
          <w:marBottom w:val="0"/>
          <w:divBdr>
            <w:top w:val="none" w:sz="0" w:space="0" w:color="auto"/>
            <w:left w:val="none" w:sz="0" w:space="0" w:color="auto"/>
            <w:bottom w:val="none" w:sz="0" w:space="0" w:color="auto"/>
            <w:right w:val="none" w:sz="0" w:space="0" w:color="auto"/>
          </w:divBdr>
        </w:div>
        <w:div w:id="151529858">
          <w:marLeft w:val="0"/>
          <w:marRight w:val="0"/>
          <w:marTop w:val="0"/>
          <w:marBottom w:val="0"/>
          <w:divBdr>
            <w:top w:val="none" w:sz="0" w:space="0" w:color="auto"/>
            <w:left w:val="none" w:sz="0" w:space="0" w:color="auto"/>
            <w:bottom w:val="none" w:sz="0" w:space="0" w:color="auto"/>
            <w:right w:val="none" w:sz="0" w:space="0" w:color="auto"/>
          </w:divBdr>
        </w:div>
        <w:div w:id="2052337185">
          <w:marLeft w:val="0"/>
          <w:marRight w:val="0"/>
          <w:marTop w:val="0"/>
          <w:marBottom w:val="0"/>
          <w:divBdr>
            <w:top w:val="none" w:sz="0" w:space="0" w:color="auto"/>
            <w:left w:val="none" w:sz="0" w:space="0" w:color="auto"/>
            <w:bottom w:val="none" w:sz="0" w:space="0" w:color="auto"/>
            <w:right w:val="none" w:sz="0" w:space="0" w:color="auto"/>
          </w:divBdr>
        </w:div>
        <w:div w:id="1037700358">
          <w:marLeft w:val="0"/>
          <w:marRight w:val="0"/>
          <w:marTop w:val="0"/>
          <w:marBottom w:val="0"/>
          <w:divBdr>
            <w:top w:val="none" w:sz="0" w:space="0" w:color="auto"/>
            <w:left w:val="none" w:sz="0" w:space="0" w:color="auto"/>
            <w:bottom w:val="none" w:sz="0" w:space="0" w:color="auto"/>
            <w:right w:val="none" w:sz="0" w:space="0" w:color="auto"/>
          </w:divBdr>
        </w:div>
      </w:divsChild>
    </w:div>
    <w:div w:id="1896623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superfinanciera.gov.co/jsp/15466"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456</Words>
  <Characters>2508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Santos Luna</dc:creator>
  <cp:keywords/>
  <dc:description/>
  <cp:lastModifiedBy>Juan Carlos Rojas</cp:lastModifiedBy>
  <cp:revision>2</cp:revision>
  <dcterms:created xsi:type="dcterms:W3CDTF">2023-10-12T13:56:00Z</dcterms:created>
  <dcterms:modified xsi:type="dcterms:W3CDTF">2023-10-12T13:56:00Z</dcterms:modified>
</cp:coreProperties>
</file>