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FB85" w14:textId="77777777" w:rsidR="00CD12E7" w:rsidRPr="00291475" w:rsidRDefault="00CD12E7" w:rsidP="00291475">
      <w:pPr>
        <w:pStyle w:val="Default"/>
        <w:spacing w:line="276" w:lineRule="auto"/>
        <w:rPr>
          <w:rFonts w:ascii="Verdana" w:hAnsi="Verdana"/>
          <w:bCs/>
          <w:color w:val="1778BD"/>
          <w:sz w:val="22"/>
          <w:szCs w:val="22"/>
        </w:rPr>
      </w:pPr>
    </w:p>
    <w:p w14:paraId="158897B6" w14:textId="77777777" w:rsidR="00CD1DFA" w:rsidRPr="00291475" w:rsidRDefault="00CD1DFA" w:rsidP="00291475">
      <w:pPr>
        <w:spacing w:line="276" w:lineRule="auto"/>
        <w:jc w:val="both"/>
        <w:rPr>
          <w:rFonts w:ascii="Verdana" w:hAnsi="Verdana" w:cs="Arial"/>
          <w:bCs/>
          <w:sz w:val="22"/>
          <w:szCs w:val="22"/>
        </w:rPr>
        <w:sectPr w:rsidR="00CD1DFA" w:rsidRPr="00291475" w:rsidSect="008E536D">
          <w:headerReference w:type="default" r:id="rId8"/>
          <w:footerReference w:type="default" r:id="rId9"/>
          <w:type w:val="continuous"/>
          <w:pgSz w:w="12240" w:h="15840" w:code="1"/>
          <w:pgMar w:top="0" w:right="1325" w:bottom="851" w:left="1276" w:header="397" w:footer="0" w:gutter="0"/>
          <w:cols w:num="2" w:space="720" w:equalWidth="0">
            <w:col w:w="2733" w:space="720"/>
            <w:col w:w="6186"/>
          </w:cols>
          <w:docGrid w:linePitch="360"/>
        </w:sectPr>
      </w:pPr>
    </w:p>
    <w:p w14:paraId="68570B56" w14:textId="67866758" w:rsidR="001F4847" w:rsidRPr="00291475" w:rsidRDefault="009E55F8" w:rsidP="00291475">
      <w:pPr>
        <w:spacing w:line="276" w:lineRule="auto"/>
        <w:jc w:val="both"/>
        <w:rPr>
          <w:rFonts w:ascii="Verdana" w:hAnsi="Verdana" w:cs="Arial"/>
          <w:bCs/>
          <w:sz w:val="22"/>
          <w:szCs w:val="22"/>
        </w:rPr>
      </w:pPr>
      <w:bookmarkStart w:id="0" w:name="_Hlk109050242"/>
      <w:bookmarkStart w:id="1" w:name="_Hlk141260637"/>
      <w:r w:rsidRPr="00291475">
        <w:rPr>
          <w:rFonts w:ascii="Verdana" w:hAnsi="Verdana" w:cs="Arial"/>
          <w:bCs/>
          <w:sz w:val="22"/>
          <w:szCs w:val="22"/>
        </w:rPr>
        <w:t xml:space="preserve">La </w:t>
      </w:r>
      <w:r w:rsidR="008B0104" w:rsidRPr="00291475">
        <w:rPr>
          <w:rFonts w:ascii="Verdana" w:hAnsi="Verdana" w:cs="Arial"/>
          <w:bCs/>
          <w:sz w:val="22"/>
          <w:szCs w:val="22"/>
        </w:rPr>
        <w:t>Superintendencia Financiera (</w:t>
      </w:r>
      <w:r w:rsidRPr="00291475">
        <w:rPr>
          <w:rFonts w:ascii="Verdana" w:hAnsi="Verdana" w:cs="Arial"/>
          <w:bCs/>
          <w:sz w:val="22"/>
          <w:szCs w:val="22"/>
        </w:rPr>
        <w:t>SFC</w:t>
      </w:r>
      <w:r w:rsidR="008B0104" w:rsidRPr="00291475">
        <w:rPr>
          <w:rFonts w:ascii="Verdana" w:hAnsi="Verdana" w:cs="Arial"/>
          <w:bCs/>
          <w:sz w:val="22"/>
          <w:szCs w:val="22"/>
        </w:rPr>
        <w:t>)</w:t>
      </w:r>
      <w:r w:rsidRPr="00291475">
        <w:rPr>
          <w:rFonts w:ascii="Verdana" w:hAnsi="Verdana" w:cs="Arial"/>
          <w:bCs/>
          <w:sz w:val="22"/>
          <w:szCs w:val="22"/>
        </w:rPr>
        <w:t xml:space="preserve"> debe certificar mediante resolución, la Tasa de Interés Bancario Corriente (TIBC) correspondiente a cada una de estas modalidades para lo cual contará con información financiera y contable que le sea suministrada por los Establecimientos de Crédito</w:t>
      </w:r>
      <w:r w:rsidR="0064486D" w:rsidRPr="00291475">
        <w:rPr>
          <w:rFonts w:ascii="Verdana" w:hAnsi="Verdana" w:cs="Arial"/>
          <w:bCs/>
          <w:sz w:val="22"/>
          <w:szCs w:val="22"/>
        </w:rPr>
        <w:t xml:space="preserve"> y podrá usar fuentes alternativas de información relevantes del mercado de crédito.</w:t>
      </w:r>
      <w:r w:rsidR="001F4847" w:rsidRPr="00291475">
        <w:rPr>
          <w:rFonts w:ascii="Verdana" w:hAnsi="Verdana" w:cs="Arial"/>
          <w:bCs/>
          <w:sz w:val="22"/>
          <w:szCs w:val="22"/>
        </w:rPr>
        <w:t xml:space="preserve"> En cumplimiento de lo definido en el artículo 11.2.5.1.1 del Decreto 2555 de 2010, la SFC define las metodologías de cálculo de la Tasa de Interés Bancario Corriente para cada modalidad. </w:t>
      </w:r>
    </w:p>
    <w:p w14:paraId="2E6C0F92" w14:textId="77777777" w:rsidR="001F4847" w:rsidRPr="00291475" w:rsidRDefault="001F4847" w:rsidP="00291475">
      <w:pPr>
        <w:spacing w:line="276" w:lineRule="auto"/>
        <w:jc w:val="both"/>
        <w:rPr>
          <w:rFonts w:ascii="Verdana" w:hAnsi="Verdana" w:cs="Arial"/>
          <w:bCs/>
          <w:sz w:val="22"/>
          <w:szCs w:val="22"/>
        </w:rPr>
      </w:pPr>
    </w:p>
    <w:p w14:paraId="51445249" w14:textId="33E1E680" w:rsidR="009E55F8" w:rsidRPr="00291475" w:rsidRDefault="001F4847" w:rsidP="00291475">
      <w:pPr>
        <w:spacing w:line="276" w:lineRule="auto"/>
        <w:jc w:val="both"/>
        <w:rPr>
          <w:rFonts w:ascii="Verdana" w:hAnsi="Verdana" w:cs="Arial"/>
          <w:bCs/>
          <w:sz w:val="22"/>
          <w:szCs w:val="22"/>
        </w:rPr>
      </w:pPr>
      <w:r w:rsidRPr="00291475">
        <w:rPr>
          <w:rFonts w:ascii="Verdana" w:hAnsi="Verdana" w:cs="Arial"/>
          <w:bCs/>
          <w:sz w:val="22"/>
          <w:szCs w:val="22"/>
        </w:rPr>
        <w:t xml:space="preserve">Por su parte, </w:t>
      </w:r>
      <w:r w:rsidRPr="00291475">
        <w:rPr>
          <w:rFonts w:ascii="Verdana" w:eastAsia="Arial" w:hAnsi="Verdana" w:cs="Arial"/>
          <w:bCs/>
          <w:sz w:val="22"/>
          <w:szCs w:val="22"/>
        </w:rPr>
        <w:t>e</w:t>
      </w:r>
      <w:r w:rsidR="00536003" w:rsidRPr="00291475">
        <w:rPr>
          <w:rFonts w:ascii="Verdana" w:eastAsia="Arial" w:hAnsi="Verdana" w:cs="Arial"/>
          <w:bCs/>
          <w:sz w:val="22"/>
          <w:szCs w:val="22"/>
        </w:rPr>
        <w:t xml:space="preserve">l artículo 11.2.5.1.2 del Decreto 2555 de 2010 define </w:t>
      </w:r>
      <w:r w:rsidR="00F7711B" w:rsidRPr="00291475">
        <w:rPr>
          <w:rFonts w:ascii="Verdana" w:eastAsia="Arial" w:hAnsi="Verdana" w:cs="Arial"/>
          <w:bCs/>
          <w:sz w:val="22"/>
          <w:szCs w:val="22"/>
        </w:rPr>
        <w:t>las</w:t>
      </w:r>
      <w:r w:rsidR="00536003" w:rsidRPr="00291475">
        <w:rPr>
          <w:rFonts w:ascii="Verdana" w:eastAsia="Arial" w:hAnsi="Verdana" w:cs="Arial"/>
          <w:bCs/>
          <w:sz w:val="22"/>
          <w:szCs w:val="22"/>
        </w:rPr>
        <w:t xml:space="preserve"> modalidades de crédito</w:t>
      </w:r>
      <w:r w:rsidR="00F7711B" w:rsidRPr="00291475">
        <w:rPr>
          <w:rFonts w:ascii="Verdana" w:eastAsia="Arial" w:hAnsi="Verdana" w:cs="Arial"/>
          <w:bCs/>
          <w:sz w:val="22"/>
          <w:szCs w:val="22"/>
        </w:rPr>
        <w:t xml:space="preserve"> para las cuales se debe certificar la TIBC</w:t>
      </w:r>
      <w:r w:rsidR="00536003" w:rsidRPr="00291475">
        <w:rPr>
          <w:rFonts w:ascii="Verdana" w:eastAsia="Arial" w:hAnsi="Verdana" w:cs="Arial"/>
          <w:bCs/>
          <w:sz w:val="22"/>
          <w:szCs w:val="22"/>
        </w:rPr>
        <w:t xml:space="preserve">: 1. </w:t>
      </w:r>
      <w:r w:rsidR="00536003" w:rsidRPr="00291475">
        <w:rPr>
          <w:rFonts w:ascii="Verdana" w:hAnsi="Verdana" w:cs="Arial"/>
          <w:bCs/>
          <w:sz w:val="22"/>
          <w:szCs w:val="22"/>
        </w:rPr>
        <w:t>crédito popular productivo rural</w:t>
      </w:r>
      <w:r w:rsidR="00F7711B" w:rsidRPr="00291475">
        <w:rPr>
          <w:rStyle w:val="Refdenotaalpie"/>
          <w:rFonts w:ascii="Verdana" w:hAnsi="Verdana" w:cs="Arial"/>
          <w:bCs/>
          <w:sz w:val="22"/>
          <w:szCs w:val="22"/>
        </w:rPr>
        <w:footnoteReference w:id="1"/>
      </w:r>
      <w:r w:rsidR="00536003" w:rsidRPr="00291475">
        <w:rPr>
          <w:rFonts w:ascii="Verdana" w:hAnsi="Verdana" w:cs="Arial"/>
          <w:bCs/>
          <w:sz w:val="22"/>
          <w:szCs w:val="22"/>
        </w:rPr>
        <w:t>, 2. crédito popular productivo urbano, 3. crédito productivo rural, 4. crédito productivo urbano, 5. crédito productivo de mayor monto</w:t>
      </w:r>
      <w:r w:rsidR="00536003" w:rsidRPr="00291475">
        <w:rPr>
          <w:rFonts w:ascii="Verdana" w:eastAsia="Arial" w:hAnsi="Verdana" w:cs="Arial"/>
          <w:bCs/>
          <w:sz w:val="22"/>
          <w:szCs w:val="22"/>
        </w:rPr>
        <w:t>, 6. crédito de consumo y ordinario y 7. crédito de consumo de bajo monto.</w:t>
      </w:r>
    </w:p>
    <w:p w14:paraId="0A91BEDE" w14:textId="77777777" w:rsidR="00570C29" w:rsidRPr="00291475" w:rsidRDefault="00570C29" w:rsidP="00291475">
      <w:pPr>
        <w:spacing w:line="276" w:lineRule="auto"/>
        <w:jc w:val="both"/>
        <w:rPr>
          <w:rFonts w:ascii="Verdana" w:hAnsi="Verdana" w:cs="Arial"/>
          <w:bCs/>
          <w:sz w:val="22"/>
          <w:szCs w:val="22"/>
        </w:rPr>
      </w:pPr>
    </w:p>
    <w:p w14:paraId="68F1D332" w14:textId="0588682E" w:rsidR="009E55F8" w:rsidRPr="00291475" w:rsidRDefault="004A6884" w:rsidP="00291475">
      <w:pPr>
        <w:pBdr>
          <w:left w:val="single" w:sz="4" w:space="4" w:color="EE0000"/>
        </w:pBdr>
        <w:spacing w:line="276" w:lineRule="auto"/>
        <w:jc w:val="both"/>
        <w:rPr>
          <w:rFonts w:ascii="Verdana" w:hAnsi="Verdana" w:cs="Arial"/>
          <w:bCs/>
          <w:sz w:val="22"/>
          <w:szCs w:val="22"/>
        </w:rPr>
      </w:pPr>
      <w:r w:rsidRPr="00291475">
        <w:rPr>
          <w:rFonts w:ascii="Verdana" w:hAnsi="Verdana" w:cs="Arial"/>
          <w:bCs/>
          <w:sz w:val="22"/>
          <w:szCs w:val="22"/>
        </w:rPr>
        <w:t>Para el cálculo</w:t>
      </w:r>
      <w:r w:rsidR="001F4847" w:rsidRPr="00291475">
        <w:rPr>
          <w:rFonts w:ascii="Verdana" w:hAnsi="Verdana" w:cs="Arial"/>
          <w:bCs/>
          <w:sz w:val="22"/>
          <w:szCs w:val="22"/>
        </w:rPr>
        <w:t xml:space="preserve"> de la TIBC</w:t>
      </w:r>
      <w:r w:rsidRPr="00291475">
        <w:rPr>
          <w:rFonts w:ascii="Verdana" w:hAnsi="Verdana" w:cs="Arial"/>
          <w:bCs/>
          <w:sz w:val="22"/>
          <w:szCs w:val="22"/>
        </w:rPr>
        <w:t xml:space="preserve"> la SFC utiliza como insumo </w:t>
      </w:r>
      <w:r w:rsidR="009E55F8" w:rsidRPr="00291475">
        <w:rPr>
          <w:rFonts w:ascii="Verdana" w:hAnsi="Verdana" w:cs="Arial"/>
          <w:bCs/>
          <w:sz w:val="22"/>
          <w:szCs w:val="22"/>
        </w:rPr>
        <w:t xml:space="preserve">la información </w:t>
      </w:r>
      <w:r w:rsidRPr="00291475">
        <w:rPr>
          <w:rFonts w:ascii="Verdana" w:hAnsi="Verdana" w:cs="Arial"/>
          <w:bCs/>
          <w:sz w:val="22"/>
          <w:szCs w:val="22"/>
        </w:rPr>
        <w:t>reportada</w:t>
      </w:r>
      <w:r w:rsidR="009E55F8" w:rsidRPr="00291475">
        <w:rPr>
          <w:rFonts w:ascii="Verdana" w:hAnsi="Verdana" w:cs="Arial"/>
          <w:bCs/>
          <w:sz w:val="22"/>
          <w:szCs w:val="22"/>
        </w:rPr>
        <w:t xml:space="preserve"> por los Establecimientos de Crédito a través del formato </w:t>
      </w:r>
      <w:r w:rsidR="00EF7CFA" w:rsidRPr="00291475">
        <w:rPr>
          <w:rFonts w:ascii="Verdana" w:hAnsi="Verdana" w:cs="Arial"/>
          <w:bCs/>
          <w:sz w:val="22"/>
          <w:szCs w:val="22"/>
        </w:rPr>
        <w:t>414</w:t>
      </w:r>
      <w:r w:rsidR="009E55F8" w:rsidRPr="00291475">
        <w:rPr>
          <w:rFonts w:ascii="Verdana" w:hAnsi="Verdana" w:cs="Arial"/>
          <w:bCs/>
          <w:sz w:val="22"/>
          <w:szCs w:val="22"/>
        </w:rPr>
        <w:t xml:space="preserve"> “</w:t>
      </w:r>
      <w:r w:rsidR="008B0104" w:rsidRPr="00291475">
        <w:rPr>
          <w:rFonts w:ascii="Verdana" w:hAnsi="Verdana" w:cs="Arial"/>
          <w:bCs/>
          <w:sz w:val="22"/>
          <w:szCs w:val="22"/>
        </w:rPr>
        <w:t>T</w:t>
      </w:r>
      <w:r w:rsidR="009E55F8" w:rsidRPr="00291475">
        <w:rPr>
          <w:rFonts w:ascii="Verdana" w:hAnsi="Verdana" w:cs="Arial"/>
          <w:bCs/>
          <w:sz w:val="22"/>
          <w:szCs w:val="22"/>
        </w:rPr>
        <w:t>asas de interés activas</w:t>
      </w:r>
      <w:r w:rsidR="00EF7CFA" w:rsidRPr="00291475">
        <w:rPr>
          <w:rFonts w:ascii="Verdana" w:hAnsi="Verdana" w:cs="Arial"/>
          <w:bCs/>
          <w:sz w:val="22"/>
          <w:szCs w:val="22"/>
        </w:rPr>
        <w:t xml:space="preserve"> por tipo de crédito</w:t>
      </w:r>
      <w:r w:rsidR="009E55F8" w:rsidRPr="00291475">
        <w:rPr>
          <w:rFonts w:ascii="Verdana" w:hAnsi="Verdana" w:cs="Arial"/>
          <w:bCs/>
          <w:sz w:val="22"/>
          <w:szCs w:val="22"/>
        </w:rPr>
        <w:t>”</w:t>
      </w:r>
      <w:r w:rsidR="009E55F8" w:rsidRPr="00291475">
        <w:rPr>
          <w:rStyle w:val="Refdenotaalpie"/>
          <w:rFonts w:ascii="Verdana" w:hAnsi="Verdana" w:cs="Arial"/>
          <w:bCs/>
          <w:sz w:val="22"/>
          <w:szCs w:val="22"/>
        </w:rPr>
        <w:footnoteReference w:id="2"/>
      </w:r>
      <w:r w:rsidR="00900F29" w:rsidRPr="00291475">
        <w:rPr>
          <w:rFonts w:ascii="Verdana" w:hAnsi="Verdana" w:cs="Arial"/>
          <w:bCs/>
          <w:sz w:val="22"/>
          <w:szCs w:val="22"/>
        </w:rPr>
        <w:t>”</w:t>
      </w:r>
      <w:r w:rsidR="009E55F8" w:rsidRPr="00291475">
        <w:rPr>
          <w:rFonts w:ascii="Verdana" w:hAnsi="Verdana" w:cs="Arial"/>
          <w:bCs/>
          <w:sz w:val="22"/>
          <w:szCs w:val="22"/>
        </w:rPr>
        <w:t>.</w:t>
      </w:r>
    </w:p>
    <w:p w14:paraId="2ADEB4AE" w14:textId="77777777" w:rsidR="00291475" w:rsidRPr="00291475" w:rsidRDefault="00291475" w:rsidP="00291475">
      <w:pPr>
        <w:spacing w:line="276" w:lineRule="auto"/>
        <w:jc w:val="both"/>
        <w:rPr>
          <w:rFonts w:ascii="Verdana" w:hAnsi="Verdana" w:cs="Arial"/>
          <w:b/>
          <w:sz w:val="22"/>
          <w:szCs w:val="22"/>
        </w:rPr>
      </w:pPr>
    </w:p>
    <w:p w14:paraId="3A76BD48" w14:textId="27F6E72F" w:rsidR="00F7711B" w:rsidRPr="00291475" w:rsidRDefault="00F7711B" w:rsidP="00291475">
      <w:pPr>
        <w:pStyle w:val="Prrafodelista"/>
        <w:numPr>
          <w:ilvl w:val="0"/>
          <w:numId w:val="42"/>
        </w:numPr>
        <w:spacing w:line="276" w:lineRule="auto"/>
        <w:ind w:left="709" w:hanging="709"/>
        <w:jc w:val="both"/>
        <w:rPr>
          <w:rFonts w:ascii="Verdana" w:hAnsi="Verdana" w:cs="Arial"/>
          <w:b/>
          <w:sz w:val="22"/>
          <w:szCs w:val="22"/>
          <w:u w:val="single"/>
        </w:rPr>
      </w:pPr>
      <w:r w:rsidRPr="00291475">
        <w:rPr>
          <w:rFonts w:ascii="Verdana" w:hAnsi="Verdana" w:cs="Arial"/>
          <w:b/>
          <w:sz w:val="22"/>
          <w:szCs w:val="22"/>
          <w:u w:val="single"/>
        </w:rPr>
        <w:t>Certificación para las modalidades de créditos productivos</w:t>
      </w:r>
    </w:p>
    <w:p w14:paraId="06ECF943" w14:textId="77777777" w:rsidR="00F7711B" w:rsidRPr="00291475" w:rsidRDefault="00F7711B" w:rsidP="00291475">
      <w:pPr>
        <w:spacing w:line="276" w:lineRule="auto"/>
        <w:jc w:val="both"/>
        <w:rPr>
          <w:rFonts w:ascii="Verdana" w:hAnsi="Verdana" w:cs="Arial"/>
          <w:b/>
          <w:sz w:val="22"/>
          <w:szCs w:val="22"/>
        </w:rPr>
      </w:pPr>
    </w:p>
    <w:p w14:paraId="5F00929F" w14:textId="288A815C" w:rsidR="00C02DBE" w:rsidRPr="00291475" w:rsidRDefault="00C02DBE" w:rsidP="00291475">
      <w:pPr>
        <w:spacing w:line="276" w:lineRule="auto"/>
        <w:jc w:val="both"/>
        <w:rPr>
          <w:rFonts w:ascii="Verdana" w:hAnsi="Verdana" w:cs="Arial"/>
          <w:b/>
          <w:bCs/>
          <w:sz w:val="22"/>
          <w:szCs w:val="22"/>
        </w:rPr>
      </w:pPr>
      <w:r w:rsidRPr="00291475">
        <w:rPr>
          <w:rFonts w:ascii="Verdana" w:hAnsi="Verdana" w:cs="Arial"/>
          <w:bCs/>
          <w:sz w:val="22"/>
          <w:szCs w:val="22"/>
        </w:rPr>
        <w:t xml:space="preserve">Para las modalidades crédito popular productivo rural, crédito popular productivo urbano, crédito productivo rural, crédito productivo urbano y crédito productivo de mayor monto, descritas en los numerales 1 a 5 corresponde al promedio ponderado de la tasa promedio ponderada. </w:t>
      </w:r>
    </w:p>
    <w:p w14:paraId="6B6B0104" w14:textId="77777777" w:rsidR="00C02DBE" w:rsidRPr="00291475" w:rsidRDefault="00C02DBE" w:rsidP="00291475">
      <w:pPr>
        <w:spacing w:line="276" w:lineRule="auto"/>
        <w:jc w:val="both"/>
        <w:rPr>
          <w:rFonts w:ascii="Verdana" w:hAnsi="Verdana" w:cs="Arial"/>
          <w:b/>
          <w:bCs/>
          <w:sz w:val="22"/>
          <w:szCs w:val="22"/>
        </w:rPr>
      </w:pPr>
    </w:p>
    <w:p w14:paraId="5C4CEA80" w14:textId="77777777" w:rsidR="00C02DBE" w:rsidRPr="00291475" w:rsidRDefault="00C02DBE" w:rsidP="00291475">
      <w:pPr>
        <w:spacing w:line="276" w:lineRule="auto"/>
        <w:jc w:val="both"/>
        <w:rPr>
          <w:rFonts w:ascii="Verdana" w:hAnsi="Verdana" w:cs="Arial"/>
          <w:bCs/>
          <w:sz w:val="22"/>
          <w:szCs w:val="22"/>
        </w:rPr>
      </w:pPr>
      <w:r w:rsidRPr="00291475">
        <w:rPr>
          <w:rFonts w:ascii="Verdana" w:hAnsi="Verdana" w:cs="Arial"/>
          <w:bCs/>
          <w:sz w:val="22"/>
          <w:szCs w:val="22"/>
        </w:rPr>
        <w:lastRenderedPageBreak/>
        <w:t>La fuente de información será el formato 414 “Tasas de interés activas por tipo de crédito”.</w:t>
      </w:r>
    </w:p>
    <w:p w14:paraId="4062E243" w14:textId="77777777" w:rsidR="00F7711B" w:rsidRPr="00291475" w:rsidRDefault="00F7711B" w:rsidP="00291475">
      <w:pPr>
        <w:spacing w:line="276" w:lineRule="auto"/>
        <w:jc w:val="both"/>
        <w:rPr>
          <w:rFonts w:ascii="Verdana" w:hAnsi="Verdana" w:cs="Arial"/>
          <w:b/>
          <w:sz w:val="22"/>
          <w:szCs w:val="22"/>
        </w:rPr>
      </w:pPr>
    </w:p>
    <w:p w14:paraId="5CB3593B" w14:textId="272524AD" w:rsidR="003E4816" w:rsidRPr="00291475" w:rsidRDefault="00900F29" w:rsidP="00291475">
      <w:pPr>
        <w:numPr>
          <w:ilvl w:val="0"/>
          <w:numId w:val="41"/>
        </w:numPr>
        <w:tabs>
          <w:tab w:val="clear" w:pos="720"/>
          <w:tab w:val="num" w:pos="540"/>
        </w:tabs>
        <w:spacing w:line="276" w:lineRule="auto"/>
        <w:ind w:left="540" w:hanging="540"/>
        <w:jc w:val="both"/>
        <w:rPr>
          <w:rFonts w:ascii="Verdana" w:hAnsi="Verdana" w:cs="Arial"/>
          <w:b/>
          <w:sz w:val="22"/>
          <w:szCs w:val="22"/>
        </w:rPr>
      </w:pPr>
      <w:r w:rsidRPr="00291475">
        <w:rPr>
          <w:rFonts w:ascii="Verdana" w:hAnsi="Verdana" w:cs="Arial"/>
          <w:b/>
          <w:sz w:val="22"/>
          <w:szCs w:val="22"/>
        </w:rPr>
        <w:t>C</w:t>
      </w:r>
      <w:bookmarkStart w:id="2" w:name="_Hlk153792519"/>
      <w:r w:rsidRPr="00291475">
        <w:rPr>
          <w:rFonts w:ascii="Verdana" w:hAnsi="Verdana" w:cs="Arial"/>
          <w:b/>
          <w:sz w:val="22"/>
          <w:szCs w:val="22"/>
        </w:rPr>
        <w:t xml:space="preserve">rédito popular productivo rural </w:t>
      </w:r>
      <w:bookmarkEnd w:id="2"/>
    </w:p>
    <w:p w14:paraId="446DE9F6" w14:textId="77777777" w:rsidR="003E4816" w:rsidRPr="00291475" w:rsidRDefault="003E4816" w:rsidP="00291475">
      <w:pPr>
        <w:spacing w:line="276" w:lineRule="auto"/>
        <w:jc w:val="both"/>
        <w:rPr>
          <w:rFonts w:ascii="Verdana" w:hAnsi="Verdana" w:cs="Arial"/>
          <w:bCs/>
          <w:sz w:val="22"/>
          <w:szCs w:val="22"/>
        </w:rPr>
      </w:pPr>
    </w:p>
    <w:p w14:paraId="42F4C934" w14:textId="5B6E8E68" w:rsidR="001F4847" w:rsidRPr="00291475" w:rsidRDefault="00F7711B" w:rsidP="00291475">
      <w:pPr>
        <w:spacing w:line="276" w:lineRule="auto"/>
        <w:jc w:val="both"/>
        <w:rPr>
          <w:rFonts w:ascii="Verdana" w:hAnsi="Verdana" w:cs="Arial"/>
          <w:bCs/>
          <w:sz w:val="22"/>
          <w:szCs w:val="22"/>
        </w:rPr>
      </w:pPr>
      <w:r w:rsidRPr="00291475">
        <w:rPr>
          <w:rFonts w:ascii="Verdana" w:hAnsi="Verdana" w:cs="Arial"/>
          <w:bCs/>
          <w:sz w:val="22"/>
          <w:szCs w:val="22"/>
        </w:rPr>
        <w:t>Para la certificación se i</w:t>
      </w:r>
      <w:r w:rsidR="001F4847" w:rsidRPr="00291475">
        <w:rPr>
          <w:rFonts w:ascii="Verdana" w:hAnsi="Verdana" w:cs="Arial"/>
          <w:bCs/>
          <w:sz w:val="22"/>
          <w:szCs w:val="22"/>
        </w:rPr>
        <w:t xml:space="preserve">ncluye la información </w:t>
      </w:r>
      <w:r w:rsidR="003E4816" w:rsidRPr="00291475">
        <w:rPr>
          <w:rFonts w:ascii="Verdana" w:hAnsi="Verdana" w:cs="Arial"/>
          <w:bCs/>
          <w:sz w:val="22"/>
          <w:szCs w:val="22"/>
        </w:rPr>
        <w:t xml:space="preserve">de </w:t>
      </w:r>
      <w:r w:rsidR="000A4B5F" w:rsidRPr="00291475">
        <w:rPr>
          <w:rFonts w:ascii="Verdana" w:hAnsi="Verdana" w:cs="Arial"/>
          <w:bCs/>
          <w:sz w:val="22"/>
          <w:szCs w:val="22"/>
        </w:rPr>
        <w:t xml:space="preserve">los desembolsos de </w:t>
      </w:r>
      <w:r w:rsidR="003E4816" w:rsidRPr="00291475">
        <w:rPr>
          <w:rFonts w:ascii="Verdana" w:hAnsi="Verdana" w:cs="Arial"/>
          <w:bCs/>
          <w:sz w:val="22"/>
          <w:szCs w:val="22"/>
        </w:rPr>
        <w:t>créditos populares productivos rurales</w:t>
      </w:r>
      <w:r w:rsidR="004A6884" w:rsidRPr="00291475">
        <w:rPr>
          <w:rFonts w:ascii="Verdana" w:hAnsi="Verdana" w:cs="Arial"/>
          <w:bCs/>
          <w:sz w:val="22"/>
          <w:szCs w:val="22"/>
        </w:rPr>
        <w:t xml:space="preserve"> para todos los plazos</w:t>
      </w:r>
      <w:r w:rsidR="003E4816" w:rsidRPr="00291475">
        <w:rPr>
          <w:rFonts w:ascii="Verdana" w:hAnsi="Verdana" w:cs="Arial"/>
          <w:bCs/>
          <w:sz w:val="22"/>
          <w:szCs w:val="22"/>
        </w:rPr>
        <w:t>, remitida por los bancos, las corporaciones financieras, las compañías de financiamiento, los organismos cooperativos de grado superior, las instituciones oficiales especiales y las cooperativas financieras</w:t>
      </w:r>
      <w:r w:rsidR="004A6884" w:rsidRPr="00291475">
        <w:rPr>
          <w:rFonts w:ascii="Verdana" w:hAnsi="Verdana" w:cs="Arial"/>
          <w:bCs/>
          <w:sz w:val="22"/>
          <w:szCs w:val="22"/>
        </w:rPr>
        <w:t>. Para el cálculo</w:t>
      </w:r>
      <w:r w:rsidR="003E4816" w:rsidRPr="00291475">
        <w:rPr>
          <w:rFonts w:ascii="Verdana" w:hAnsi="Verdana" w:cs="Arial"/>
          <w:bCs/>
          <w:sz w:val="22"/>
          <w:szCs w:val="22"/>
        </w:rPr>
        <w:t xml:space="preserve"> se </w:t>
      </w:r>
      <w:r w:rsidR="001F4847" w:rsidRPr="00291475">
        <w:rPr>
          <w:rFonts w:ascii="Verdana" w:hAnsi="Verdana" w:cs="Arial"/>
          <w:bCs/>
          <w:sz w:val="22"/>
          <w:szCs w:val="22"/>
        </w:rPr>
        <w:t>incluye</w:t>
      </w:r>
      <w:r w:rsidR="003E4816" w:rsidRPr="00291475">
        <w:rPr>
          <w:rFonts w:ascii="Verdana" w:hAnsi="Verdana" w:cs="Arial"/>
          <w:bCs/>
          <w:sz w:val="22"/>
          <w:szCs w:val="22"/>
        </w:rPr>
        <w:t xml:space="preserve"> la </w:t>
      </w:r>
      <w:r w:rsidR="000A4B5F" w:rsidRPr="00291475">
        <w:rPr>
          <w:rFonts w:ascii="Verdana" w:hAnsi="Verdana" w:cs="Arial"/>
          <w:bCs/>
          <w:sz w:val="22"/>
          <w:szCs w:val="22"/>
        </w:rPr>
        <w:t xml:space="preserve">última </w:t>
      </w:r>
      <w:r w:rsidR="003E4816" w:rsidRPr="00291475">
        <w:rPr>
          <w:rFonts w:ascii="Verdana" w:hAnsi="Verdana" w:cs="Arial"/>
          <w:bCs/>
          <w:sz w:val="22"/>
          <w:szCs w:val="22"/>
        </w:rPr>
        <w:t xml:space="preserve">información disponible reportada </w:t>
      </w:r>
      <w:r w:rsidR="008B0104" w:rsidRPr="00291475">
        <w:rPr>
          <w:rFonts w:ascii="Verdana" w:hAnsi="Verdana" w:cs="Arial"/>
          <w:bCs/>
          <w:sz w:val="22"/>
          <w:szCs w:val="22"/>
        </w:rPr>
        <w:t>de</w:t>
      </w:r>
      <w:r w:rsidR="003E4816" w:rsidRPr="00291475">
        <w:rPr>
          <w:rFonts w:ascii="Verdana" w:hAnsi="Verdana" w:cs="Arial"/>
          <w:bCs/>
          <w:sz w:val="22"/>
          <w:szCs w:val="22"/>
        </w:rPr>
        <w:t xml:space="preserve"> cuatro (4) semanas anteriores a la certificación.  </w:t>
      </w:r>
    </w:p>
    <w:p w14:paraId="6730E153" w14:textId="75D03876" w:rsidR="00900F29" w:rsidRPr="00291475" w:rsidRDefault="00900F29" w:rsidP="00291475">
      <w:pPr>
        <w:spacing w:line="276" w:lineRule="auto"/>
        <w:jc w:val="both"/>
        <w:rPr>
          <w:rFonts w:ascii="Verdana" w:hAnsi="Verdana" w:cs="Arial"/>
          <w:bCs/>
          <w:sz w:val="22"/>
          <w:szCs w:val="22"/>
        </w:rPr>
      </w:pPr>
    </w:p>
    <w:p w14:paraId="1A4C3C60" w14:textId="1261C8D6" w:rsidR="00900F29" w:rsidRPr="00291475" w:rsidRDefault="00900F29" w:rsidP="00291475">
      <w:pPr>
        <w:numPr>
          <w:ilvl w:val="0"/>
          <w:numId w:val="41"/>
        </w:numPr>
        <w:tabs>
          <w:tab w:val="clear" w:pos="720"/>
          <w:tab w:val="num" w:pos="540"/>
        </w:tabs>
        <w:spacing w:line="276" w:lineRule="auto"/>
        <w:ind w:left="540" w:hanging="540"/>
        <w:jc w:val="both"/>
        <w:rPr>
          <w:rFonts w:ascii="Verdana" w:hAnsi="Verdana" w:cs="Arial"/>
          <w:b/>
          <w:sz w:val="22"/>
          <w:szCs w:val="22"/>
        </w:rPr>
      </w:pPr>
      <w:r w:rsidRPr="00291475">
        <w:rPr>
          <w:rFonts w:ascii="Verdana" w:hAnsi="Verdana" w:cs="Arial"/>
          <w:b/>
          <w:sz w:val="22"/>
          <w:szCs w:val="22"/>
        </w:rPr>
        <w:t>Crédito popular productivo urbano</w:t>
      </w:r>
    </w:p>
    <w:p w14:paraId="0026D9F7" w14:textId="77777777" w:rsidR="003E4816" w:rsidRPr="00291475" w:rsidRDefault="003E4816" w:rsidP="00291475">
      <w:pPr>
        <w:spacing w:line="276" w:lineRule="auto"/>
        <w:jc w:val="both"/>
        <w:rPr>
          <w:rFonts w:ascii="Verdana" w:hAnsi="Verdana" w:cs="Arial"/>
          <w:bCs/>
          <w:sz w:val="22"/>
          <w:szCs w:val="22"/>
        </w:rPr>
      </w:pPr>
    </w:p>
    <w:p w14:paraId="0C565D43" w14:textId="1D2EE9B8" w:rsidR="001F4847" w:rsidRPr="00291475" w:rsidRDefault="00F7711B" w:rsidP="00291475">
      <w:pPr>
        <w:spacing w:line="276" w:lineRule="auto"/>
        <w:jc w:val="both"/>
        <w:rPr>
          <w:rFonts w:ascii="Verdana" w:hAnsi="Verdana" w:cs="Arial"/>
          <w:bCs/>
          <w:sz w:val="22"/>
          <w:szCs w:val="22"/>
        </w:rPr>
      </w:pPr>
      <w:r w:rsidRPr="00291475">
        <w:rPr>
          <w:rFonts w:ascii="Verdana" w:hAnsi="Verdana" w:cs="Arial"/>
          <w:bCs/>
          <w:sz w:val="22"/>
          <w:szCs w:val="22"/>
        </w:rPr>
        <w:t>Para la certificación se incluye</w:t>
      </w:r>
      <w:r w:rsidR="003E4816" w:rsidRPr="00291475">
        <w:rPr>
          <w:rFonts w:ascii="Verdana" w:hAnsi="Verdana" w:cs="Arial"/>
          <w:bCs/>
          <w:sz w:val="22"/>
          <w:szCs w:val="22"/>
        </w:rPr>
        <w:t xml:space="preserve"> la información de </w:t>
      </w:r>
      <w:r w:rsidR="000A4B5F" w:rsidRPr="00291475">
        <w:rPr>
          <w:rFonts w:ascii="Verdana" w:hAnsi="Verdana" w:cs="Arial"/>
          <w:bCs/>
          <w:sz w:val="22"/>
          <w:szCs w:val="22"/>
        </w:rPr>
        <w:t xml:space="preserve">los desembolsos </w:t>
      </w:r>
      <w:r w:rsidR="003E4816" w:rsidRPr="00291475">
        <w:rPr>
          <w:rFonts w:ascii="Verdana" w:hAnsi="Verdana" w:cs="Arial"/>
          <w:bCs/>
          <w:sz w:val="22"/>
          <w:szCs w:val="22"/>
        </w:rPr>
        <w:t>créditos populares productivos urbanos</w:t>
      </w:r>
      <w:r w:rsidR="001F4847" w:rsidRPr="00291475">
        <w:rPr>
          <w:rFonts w:ascii="Verdana" w:hAnsi="Verdana" w:cs="Arial"/>
          <w:bCs/>
          <w:sz w:val="22"/>
          <w:szCs w:val="22"/>
        </w:rPr>
        <w:t xml:space="preserve"> para todos los plazos</w:t>
      </w:r>
      <w:r w:rsidR="003E4816" w:rsidRPr="00291475">
        <w:rPr>
          <w:rFonts w:ascii="Verdana" w:hAnsi="Verdana" w:cs="Arial"/>
          <w:bCs/>
          <w:sz w:val="22"/>
          <w:szCs w:val="22"/>
        </w:rPr>
        <w:t>, remitida por los bancos, las corporaciones financieras, las compañías de financiamiento, los organismos cooperativos de grado superior, las instituciones oficiales especiales y las cooperativas financieras</w:t>
      </w:r>
      <w:r w:rsidR="001F4847" w:rsidRPr="00291475">
        <w:rPr>
          <w:rFonts w:ascii="Verdana" w:hAnsi="Verdana" w:cs="Arial"/>
          <w:bCs/>
          <w:sz w:val="22"/>
          <w:szCs w:val="22"/>
        </w:rPr>
        <w:t xml:space="preserve">. Para el cálculo se incluye la última información disponible reportada </w:t>
      </w:r>
      <w:r w:rsidR="008B0104" w:rsidRPr="00291475">
        <w:rPr>
          <w:rFonts w:ascii="Verdana" w:hAnsi="Verdana" w:cs="Arial"/>
          <w:bCs/>
          <w:sz w:val="22"/>
          <w:szCs w:val="22"/>
        </w:rPr>
        <w:t>de</w:t>
      </w:r>
      <w:r w:rsidR="001F4847" w:rsidRPr="00291475">
        <w:rPr>
          <w:rFonts w:ascii="Verdana" w:hAnsi="Verdana" w:cs="Arial"/>
          <w:bCs/>
          <w:sz w:val="22"/>
          <w:szCs w:val="22"/>
        </w:rPr>
        <w:t xml:space="preserve"> cuatro (4) semanas anteriores a la certificación.  </w:t>
      </w:r>
    </w:p>
    <w:p w14:paraId="7A521408" w14:textId="77777777" w:rsidR="001F4847" w:rsidRPr="00291475" w:rsidRDefault="001F4847" w:rsidP="00291475">
      <w:pPr>
        <w:spacing w:line="276" w:lineRule="auto"/>
        <w:jc w:val="both"/>
        <w:rPr>
          <w:rFonts w:ascii="Verdana" w:hAnsi="Verdana" w:cs="Arial"/>
          <w:bCs/>
          <w:sz w:val="22"/>
          <w:szCs w:val="22"/>
        </w:rPr>
      </w:pPr>
    </w:p>
    <w:p w14:paraId="75658EEC" w14:textId="1DB8213D" w:rsidR="00900F29" w:rsidRPr="00291475" w:rsidRDefault="00900F29" w:rsidP="00291475">
      <w:pPr>
        <w:numPr>
          <w:ilvl w:val="0"/>
          <w:numId w:val="41"/>
        </w:numPr>
        <w:tabs>
          <w:tab w:val="clear" w:pos="720"/>
          <w:tab w:val="num" w:pos="540"/>
        </w:tabs>
        <w:spacing w:line="276" w:lineRule="auto"/>
        <w:ind w:left="540" w:hanging="540"/>
        <w:jc w:val="both"/>
        <w:rPr>
          <w:rFonts w:ascii="Verdana" w:hAnsi="Verdana" w:cs="Arial"/>
          <w:b/>
          <w:sz w:val="22"/>
          <w:szCs w:val="22"/>
        </w:rPr>
      </w:pPr>
      <w:r w:rsidRPr="00291475">
        <w:rPr>
          <w:rFonts w:ascii="Verdana" w:hAnsi="Verdana" w:cs="Arial"/>
          <w:b/>
          <w:sz w:val="22"/>
          <w:szCs w:val="22"/>
        </w:rPr>
        <w:t>Crédito productivo rural</w:t>
      </w:r>
    </w:p>
    <w:p w14:paraId="75711DE2" w14:textId="77777777" w:rsidR="003E4816" w:rsidRPr="00291475" w:rsidRDefault="003E4816" w:rsidP="00291475">
      <w:pPr>
        <w:spacing w:line="276" w:lineRule="auto"/>
        <w:jc w:val="both"/>
        <w:rPr>
          <w:rFonts w:ascii="Verdana" w:hAnsi="Verdana" w:cs="Arial"/>
          <w:bCs/>
          <w:sz w:val="22"/>
          <w:szCs w:val="22"/>
        </w:rPr>
      </w:pPr>
    </w:p>
    <w:p w14:paraId="4F002C37" w14:textId="614747BE" w:rsidR="001F4847" w:rsidRPr="00291475" w:rsidRDefault="00F7711B" w:rsidP="00291475">
      <w:pPr>
        <w:spacing w:line="276" w:lineRule="auto"/>
        <w:jc w:val="both"/>
        <w:rPr>
          <w:rFonts w:ascii="Verdana" w:hAnsi="Verdana" w:cs="Arial"/>
          <w:bCs/>
          <w:sz w:val="22"/>
          <w:szCs w:val="22"/>
        </w:rPr>
      </w:pPr>
      <w:r w:rsidRPr="00291475">
        <w:rPr>
          <w:rFonts w:ascii="Verdana" w:hAnsi="Verdana" w:cs="Arial"/>
          <w:bCs/>
          <w:sz w:val="22"/>
          <w:szCs w:val="22"/>
        </w:rPr>
        <w:t>Para la certificación se incluye</w:t>
      </w:r>
      <w:r w:rsidR="001F4847" w:rsidRPr="00291475">
        <w:rPr>
          <w:rFonts w:ascii="Verdana" w:hAnsi="Verdana" w:cs="Arial"/>
          <w:bCs/>
          <w:sz w:val="22"/>
          <w:szCs w:val="22"/>
        </w:rPr>
        <w:t xml:space="preserve"> la información de los desembolsos </w:t>
      </w:r>
      <w:r w:rsidR="000A4B5F" w:rsidRPr="00291475">
        <w:rPr>
          <w:rFonts w:ascii="Verdana" w:hAnsi="Verdana" w:cs="Arial"/>
          <w:bCs/>
          <w:sz w:val="22"/>
          <w:szCs w:val="22"/>
        </w:rPr>
        <w:t xml:space="preserve">de </w:t>
      </w:r>
      <w:r w:rsidR="003E4816" w:rsidRPr="00291475">
        <w:rPr>
          <w:rFonts w:ascii="Verdana" w:hAnsi="Verdana" w:cs="Arial"/>
          <w:bCs/>
          <w:sz w:val="22"/>
          <w:szCs w:val="22"/>
        </w:rPr>
        <w:t>créditos productivos rurales, remitida por los bancos, las corporaciones financieras, las compañías de financiamiento, los organismos cooperativos de grado superior, las instituciones oficiales especiales y las cooperativas financieras</w:t>
      </w:r>
      <w:r w:rsidR="001F4847" w:rsidRPr="00291475">
        <w:rPr>
          <w:rFonts w:ascii="Verdana" w:hAnsi="Verdana" w:cs="Arial"/>
          <w:bCs/>
          <w:sz w:val="22"/>
          <w:szCs w:val="22"/>
        </w:rPr>
        <w:t xml:space="preserve">. Para el cálculo se incluye la última información disponible reportada </w:t>
      </w:r>
      <w:r w:rsidR="008B0104" w:rsidRPr="00291475">
        <w:rPr>
          <w:rFonts w:ascii="Verdana" w:hAnsi="Verdana" w:cs="Arial"/>
          <w:bCs/>
          <w:sz w:val="22"/>
          <w:szCs w:val="22"/>
        </w:rPr>
        <w:t xml:space="preserve">de </w:t>
      </w:r>
      <w:r w:rsidR="001F4847" w:rsidRPr="00291475">
        <w:rPr>
          <w:rFonts w:ascii="Verdana" w:hAnsi="Verdana" w:cs="Arial"/>
          <w:bCs/>
          <w:sz w:val="22"/>
          <w:szCs w:val="22"/>
        </w:rPr>
        <w:t xml:space="preserve">cuatro (4) semanas anteriores a la certificación.  </w:t>
      </w:r>
    </w:p>
    <w:p w14:paraId="7C7DA12B" w14:textId="77777777" w:rsidR="00A71BAB" w:rsidRPr="00291475" w:rsidRDefault="00A71BAB" w:rsidP="00291475">
      <w:pPr>
        <w:spacing w:line="276" w:lineRule="auto"/>
        <w:jc w:val="both"/>
        <w:rPr>
          <w:rFonts w:ascii="Verdana" w:hAnsi="Verdana" w:cs="Arial"/>
          <w:bCs/>
          <w:sz w:val="22"/>
          <w:szCs w:val="22"/>
        </w:rPr>
      </w:pPr>
    </w:p>
    <w:p w14:paraId="31AA4596" w14:textId="3AFAE2D5" w:rsidR="003E4816" w:rsidRPr="00291475" w:rsidRDefault="00900F29" w:rsidP="00291475">
      <w:pPr>
        <w:numPr>
          <w:ilvl w:val="0"/>
          <w:numId w:val="41"/>
        </w:numPr>
        <w:tabs>
          <w:tab w:val="clear" w:pos="720"/>
          <w:tab w:val="num" w:pos="540"/>
        </w:tabs>
        <w:spacing w:line="276" w:lineRule="auto"/>
        <w:ind w:left="540" w:hanging="540"/>
        <w:jc w:val="both"/>
        <w:rPr>
          <w:rFonts w:ascii="Verdana" w:hAnsi="Verdana" w:cs="Arial"/>
          <w:b/>
          <w:sz w:val="22"/>
          <w:szCs w:val="22"/>
        </w:rPr>
      </w:pPr>
      <w:r w:rsidRPr="00291475">
        <w:rPr>
          <w:rFonts w:ascii="Verdana" w:hAnsi="Verdana" w:cs="Arial"/>
          <w:b/>
          <w:sz w:val="22"/>
          <w:szCs w:val="22"/>
        </w:rPr>
        <w:t>Crédito productivo urbano</w:t>
      </w:r>
    </w:p>
    <w:p w14:paraId="6C3C6BFF" w14:textId="77777777" w:rsidR="003E4816" w:rsidRPr="00291475" w:rsidRDefault="003E4816" w:rsidP="00291475">
      <w:pPr>
        <w:spacing w:line="276" w:lineRule="auto"/>
        <w:jc w:val="both"/>
        <w:rPr>
          <w:rFonts w:ascii="Verdana" w:hAnsi="Verdana" w:cs="Arial"/>
          <w:bCs/>
          <w:sz w:val="22"/>
          <w:szCs w:val="22"/>
        </w:rPr>
      </w:pPr>
    </w:p>
    <w:p w14:paraId="69191732" w14:textId="036931A8" w:rsidR="001F4847" w:rsidRPr="00291475" w:rsidRDefault="00F7711B" w:rsidP="00291475">
      <w:pPr>
        <w:spacing w:line="276" w:lineRule="auto"/>
        <w:jc w:val="both"/>
        <w:rPr>
          <w:rFonts w:ascii="Verdana" w:hAnsi="Verdana" w:cs="Arial"/>
          <w:bCs/>
          <w:sz w:val="22"/>
          <w:szCs w:val="22"/>
        </w:rPr>
      </w:pPr>
      <w:r w:rsidRPr="00291475">
        <w:rPr>
          <w:rFonts w:ascii="Verdana" w:hAnsi="Verdana" w:cs="Arial"/>
          <w:bCs/>
          <w:sz w:val="22"/>
          <w:szCs w:val="22"/>
        </w:rPr>
        <w:t>Para la certificación se incluye</w:t>
      </w:r>
      <w:r w:rsidR="001F4847" w:rsidRPr="00291475">
        <w:rPr>
          <w:rFonts w:ascii="Verdana" w:hAnsi="Verdana" w:cs="Arial"/>
          <w:bCs/>
          <w:sz w:val="22"/>
          <w:szCs w:val="22"/>
        </w:rPr>
        <w:t xml:space="preserve"> la información de los desembolsos </w:t>
      </w:r>
      <w:r w:rsidR="000A4B5F" w:rsidRPr="00291475">
        <w:rPr>
          <w:rFonts w:ascii="Verdana" w:hAnsi="Verdana" w:cs="Arial"/>
          <w:bCs/>
          <w:sz w:val="22"/>
          <w:szCs w:val="22"/>
        </w:rPr>
        <w:t xml:space="preserve">de </w:t>
      </w:r>
      <w:r w:rsidR="003E4816" w:rsidRPr="00291475">
        <w:rPr>
          <w:rFonts w:ascii="Verdana" w:hAnsi="Verdana" w:cs="Arial"/>
          <w:bCs/>
          <w:sz w:val="22"/>
          <w:szCs w:val="22"/>
        </w:rPr>
        <w:t>créditos productivos urbanos, remitida por los bancos, las corporaciones financieras, las compañías de financiamiento, los organismos cooperativos de grado superior, las instituciones oficiales especiales y las cooperativas financieras</w:t>
      </w:r>
      <w:r w:rsidR="001F4847" w:rsidRPr="00291475">
        <w:rPr>
          <w:rFonts w:ascii="Verdana" w:hAnsi="Verdana" w:cs="Arial"/>
          <w:bCs/>
          <w:sz w:val="22"/>
          <w:szCs w:val="22"/>
        </w:rPr>
        <w:t xml:space="preserve">. Para el cálculo se incluye la última información disponible reportada </w:t>
      </w:r>
      <w:r w:rsidR="008B0104" w:rsidRPr="00291475">
        <w:rPr>
          <w:rFonts w:ascii="Verdana" w:hAnsi="Verdana" w:cs="Arial"/>
          <w:bCs/>
          <w:sz w:val="22"/>
          <w:szCs w:val="22"/>
        </w:rPr>
        <w:t>de</w:t>
      </w:r>
      <w:r w:rsidR="001F4847" w:rsidRPr="00291475">
        <w:rPr>
          <w:rFonts w:ascii="Verdana" w:hAnsi="Verdana" w:cs="Arial"/>
          <w:bCs/>
          <w:sz w:val="22"/>
          <w:szCs w:val="22"/>
        </w:rPr>
        <w:t xml:space="preserve"> cuatro (4) semanas anteriores a la certificación.  </w:t>
      </w:r>
    </w:p>
    <w:p w14:paraId="4626FB00" w14:textId="77777777" w:rsidR="00900F29" w:rsidRPr="00291475" w:rsidRDefault="00900F29" w:rsidP="00291475">
      <w:pPr>
        <w:spacing w:line="276" w:lineRule="auto"/>
        <w:jc w:val="both"/>
        <w:rPr>
          <w:rFonts w:ascii="Verdana" w:hAnsi="Verdana" w:cs="Arial"/>
          <w:bCs/>
          <w:sz w:val="22"/>
          <w:szCs w:val="22"/>
        </w:rPr>
      </w:pPr>
    </w:p>
    <w:p w14:paraId="3A6002B6" w14:textId="28D2AC2D" w:rsidR="00900F29" w:rsidRPr="00291475" w:rsidRDefault="00900F29" w:rsidP="00291475">
      <w:pPr>
        <w:numPr>
          <w:ilvl w:val="0"/>
          <w:numId w:val="41"/>
        </w:numPr>
        <w:tabs>
          <w:tab w:val="clear" w:pos="720"/>
          <w:tab w:val="num" w:pos="540"/>
        </w:tabs>
        <w:spacing w:line="276" w:lineRule="auto"/>
        <w:ind w:left="540" w:hanging="540"/>
        <w:jc w:val="both"/>
        <w:rPr>
          <w:rFonts w:ascii="Verdana" w:hAnsi="Verdana" w:cs="Arial"/>
          <w:b/>
          <w:sz w:val="22"/>
          <w:szCs w:val="22"/>
        </w:rPr>
      </w:pPr>
      <w:r w:rsidRPr="00291475">
        <w:rPr>
          <w:rFonts w:ascii="Verdana" w:hAnsi="Verdana" w:cs="Arial"/>
          <w:b/>
          <w:sz w:val="22"/>
          <w:szCs w:val="22"/>
        </w:rPr>
        <w:t>Crédito productivo de mayor monto</w:t>
      </w:r>
    </w:p>
    <w:p w14:paraId="438BCF36" w14:textId="77777777" w:rsidR="003E4816" w:rsidRPr="00291475" w:rsidRDefault="003E4816" w:rsidP="00291475">
      <w:pPr>
        <w:spacing w:line="276" w:lineRule="auto"/>
        <w:jc w:val="both"/>
        <w:rPr>
          <w:rFonts w:ascii="Verdana" w:hAnsi="Verdana" w:cs="Arial"/>
          <w:bCs/>
          <w:sz w:val="22"/>
          <w:szCs w:val="22"/>
        </w:rPr>
      </w:pPr>
    </w:p>
    <w:p w14:paraId="35AFC189" w14:textId="6A6A4337" w:rsidR="005D0B6F" w:rsidRPr="00291475" w:rsidRDefault="00F7711B" w:rsidP="00291475">
      <w:pPr>
        <w:spacing w:line="276" w:lineRule="auto"/>
        <w:jc w:val="both"/>
        <w:rPr>
          <w:rFonts w:ascii="Verdana" w:hAnsi="Verdana" w:cs="Arial"/>
          <w:bCs/>
          <w:sz w:val="22"/>
          <w:szCs w:val="22"/>
        </w:rPr>
      </w:pPr>
      <w:r w:rsidRPr="00291475">
        <w:rPr>
          <w:rFonts w:ascii="Verdana" w:hAnsi="Verdana" w:cs="Arial"/>
          <w:bCs/>
          <w:sz w:val="22"/>
          <w:szCs w:val="22"/>
        </w:rPr>
        <w:t>Para la certificación se incluye</w:t>
      </w:r>
      <w:r w:rsidR="001F4847" w:rsidRPr="00291475">
        <w:rPr>
          <w:rFonts w:ascii="Verdana" w:hAnsi="Verdana" w:cs="Arial"/>
          <w:bCs/>
          <w:sz w:val="22"/>
          <w:szCs w:val="22"/>
        </w:rPr>
        <w:t xml:space="preserve"> la información de los desembolsos </w:t>
      </w:r>
      <w:r w:rsidR="000A4B5F" w:rsidRPr="00291475">
        <w:rPr>
          <w:rFonts w:ascii="Verdana" w:hAnsi="Verdana" w:cs="Arial"/>
          <w:bCs/>
          <w:sz w:val="22"/>
          <w:szCs w:val="22"/>
        </w:rPr>
        <w:t xml:space="preserve">de </w:t>
      </w:r>
      <w:r w:rsidR="003E4816" w:rsidRPr="00291475">
        <w:rPr>
          <w:rFonts w:ascii="Verdana" w:hAnsi="Verdana" w:cs="Arial"/>
          <w:bCs/>
          <w:sz w:val="22"/>
          <w:szCs w:val="22"/>
        </w:rPr>
        <w:t>créditos productivos de mayor monto, remitida por los bancos, las corporaciones financieras, las compañías de financiamiento, los organismos cooperativos de grado superior, las instituciones oficiales especiales y las cooperativas financieras</w:t>
      </w:r>
      <w:r w:rsidR="001F4847" w:rsidRPr="00291475">
        <w:rPr>
          <w:rFonts w:ascii="Verdana" w:hAnsi="Verdana" w:cs="Arial"/>
          <w:bCs/>
          <w:sz w:val="22"/>
          <w:szCs w:val="22"/>
        </w:rPr>
        <w:t xml:space="preserve">. Para el cálculo se incluye la última información disponible reportada </w:t>
      </w:r>
      <w:r w:rsidR="008B0104" w:rsidRPr="00291475">
        <w:rPr>
          <w:rFonts w:ascii="Verdana" w:hAnsi="Verdana" w:cs="Arial"/>
          <w:bCs/>
          <w:sz w:val="22"/>
          <w:szCs w:val="22"/>
        </w:rPr>
        <w:t>de</w:t>
      </w:r>
      <w:r w:rsidR="001F4847" w:rsidRPr="00291475">
        <w:rPr>
          <w:rFonts w:ascii="Verdana" w:hAnsi="Verdana" w:cs="Arial"/>
          <w:bCs/>
          <w:sz w:val="22"/>
          <w:szCs w:val="22"/>
        </w:rPr>
        <w:t xml:space="preserve"> cuatro (4) semanas anteriores a la certificación.  </w:t>
      </w:r>
    </w:p>
    <w:p w14:paraId="17B47C99" w14:textId="77777777" w:rsidR="00F7711B" w:rsidRPr="00291475" w:rsidRDefault="00F7711B" w:rsidP="00291475">
      <w:pPr>
        <w:spacing w:line="276" w:lineRule="auto"/>
        <w:jc w:val="both"/>
        <w:rPr>
          <w:rFonts w:ascii="Verdana" w:hAnsi="Verdana" w:cs="Arial"/>
          <w:b/>
          <w:sz w:val="22"/>
          <w:szCs w:val="22"/>
        </w:rPr>
      </w:pPr>
    </w:p>
    <w:p w14:paraId="2CA623E0" w14:textId="641846B9" w:rsidR="009E55F8" w:rsidRPr="00291475" w:rsidRDefault="009E55F8" w:rsidP="00291475">
      <w:pPr>
        <w:pStyle w:val="Prrafodelista"/>
        <w:numPr>
          <w:ilvl w:val="0"/>
          <w:numId w:val="42"/>
        </w:numPr>
        <w:spacing w:line="276" w:lineRule="auto"/>
        <w:ind w:left="709" w:hanging="709"/>
        <w:jc w:val="both"/>
        <w:rPr>
          <w:rFonts w:ascii="Verdana" w:hAnsi="Verdana" w:cs="Arial"/>
          <w:b/>
          <w:sz w:val="22"/>
          <w:szCs w:val="22"/>
          <w:u w:val="single"/>
        </w:rPr>
      </w:pPr>
      <w:r w:rsidRPr="00291475">
        <w:rPr>
          <w:rFonts w:ascii="Verdana" w:hAnsi="Verdana" w:cs="Arial"/>
          <w:b/>
          <w:sz w:val="22"/>
          <w:szCs w:val="22"/>
          <w:u w:val="single"/>
        </w:rPr>
        <w:t xml:space="preserve">Certificación </w:t>
      </w:r>
      <w:r w:rsidR="00F7711B" w:rsidRPr="00291475">
        <w:rPr>
          <w:rFonts w:ascii="Verdana" w:hAnsi="Verdana" w:cs="Arial"/>
          <w:b/>
          <w:sz w:val="22"/>
          <w:szCs w:val="22"/>
          <w:u w:val="single"/>
        </w:rPr>
        <w:t>para la modalidad</w:t>
      </w:r>
      <w:r w:rsidRPr="00291475">
        <w:rPr>
          <w:rFonts w:ascii="Verdana" w:hAnsi="Verdana" w:cs="Arial"/>
          <w:b/>
          <w:sz w:val="22"/>
          <w:szCs w:val="22"/>
          <w:u w:val="single"/>
        </w:rPr>
        <w:t xml:space="preserve"> de Consumo y Ordinario </w:t>
      </w:r>
    </w:p>
    <w:p w14:paraId="3FBC0898" w14:textId="77777777" w:rsidR="00F7711B" w:rsidRPr="00291475" w:rsidRDefault="00F7711B" w:rsidP="00291475">
      <w:pPr>
        <w:spacing w:line="276" w:lineRule="auto"/>
        <w:jc w:val="both"/>
        <w:rPr>
          <w:rFonts w:ascii="Verdana" w:hAnsi="Verdana" w:cs="Arial"/>
          <w:b/>
          <w:sz w:val="22"/>
          <w:szCs w:val="22"/>
          <w:u w:val="single"/>
        </w:rPr>
      </w:pPr>
    </w:p>
    <w:p w14:paraId="0A4FAF3E" w14:textId="53DA4A2C" w:rsidR="00817CBA" w:rsidRPr="00291475" w:rsidRDefault="009E55F8" w:rsidP="00291475">
      <w:pPr>
        <w:spacing w:line="276" w:lineRule="auto"/>
        <w:jc w:val="both"/>
        <w:rPr>
          <w:rFonts w:ascii="Verdana" w:hAnsi="Verdana" w:cs="Arial"/>
          <w:bCs/>
          <w:sz w:val="22"/>
          <w:szCs w:val="22"/>
        </w:rPr>
      </w:pPr>
      <w:r w:rsidRPr="00291475">
        <w:rPr>
          <w:rFonts w:ascii="Verdana" w:hAnsi="Verdana" w:cs="Arial"/>
          <w:bCs/>
          <w:sz w:val="22"/>
          <w:szCs w:val="22"/>
        </w:rPr>
        <w:t>Incluye la información de todos los plazos sobre crédito de consumo</w:t>
      </w:r>
      <w:r w:rsidRPr="00291475">
        <w:rPr>
          <w:rStyle w:val="Refdenotaalpie"/>
          <w:rFonts w:ascii="Verdana" w:hAnsi="Verdana" w:cs="Arial"/>
          <w:bCs/>
          <w:sz w:val="22"/>
          <w:szCs w:val="22"/>
        </w:rPr>
        <w:footnoteReference w:id="3"/>
      </w:r>
      <w:r w:rsidRPr="00291475">
        <w:rPr>
          <w:rFonts w:ascii="Verdana" w:hAnsi="Verdana" w:cs="Arial"/>
          <w:bCs/>
          <w:sz w:val="22"/>
          <w:szCs w:val="22"/>
        </w:rPr>
        <w:t>, crédito comercial ordinario</w:t>
      </w:r>
      <w:r w:rsidRPr="00291475">
        <w:rPr>
          <w:rStyle w:val="Refdenotaalpie"/>
          <w:rFonts w:ascii="Verdana" w:hAnsi="Verdana" w:cs="Arial"/>
          <w:bCs/>
          <w:sz w:val="22"/>
          <w:szCs w:val="22"/>
        </w:rPr>
        <w:footnoteReference w:id="4"/>
      </w:r>
      <w:r w:rsidRPr="00291475">
        <w:rPr>
          <w:rFonts w:ascii="Verdana" w:hAnsi="Verdana" w:cs="Arial"/>
          <w:bCs/>
          <w:sz w:val="22"/>
          <w:szCs w:val="22"/>
        </w:rPr>
        <w:t xml:space="preserve"> y tarjetas de crédito para personas naturales con excepción de los consumos a un (1) mes</w:t>
      </w:r>
      <w:r w:rsidRPr="00291475">
        <w:rPr>
          <w:rStyle w:val="Refdenotaalpie"/>
          <w:rFonts w:ascii="Verdana" w:hAnsi="Verdana" w:cs="Arial"/>
          <w:bCs/>
          <w:sz w:val="22"/>
          <w:szCs w:val="22"/>
        </w:rPr>
        <w:footnoteReference w:id="5"/>
      </w:r>
      <w:r w:rsidRPr="00291475">
        <w:rPr>
          <w:rFonts w:ascii="Verdana" w:hAnsi="Verdana" w:cs="Arial"/>
          <w:bCs/>
          <w:sz w:val="22"/>
          <w:szCs w:val="22"/>
        </w:rPr>
        <w:t xml:space="preserve">, remitida </w:t>
      </w:r>
      <w:r w:rsidR="008B0104" w:rsidRPr="00291475">
        <w:rPr>
          <w:rFonts w:ascii="Verdana" w:hAnsi="Verdana" w:cs="Arial"/>
          <w:bCs/>
          <w:sz w:val="22"/>
          <w:szCs w:val="22"/>
        </w:rPr>
        <w:t xml:space="preserve">en el formato 414 “Tasas de interés activas por tipo de crédito” </w:t>
      </w:r>
      <w:r w:rsidRPr="00291475">
        <w:rPr>
          <w:rFonts w:ascii="Verdana" w:hAnsi="Verdana" w:cs="Arial"/>
          <w:bCs/>
          <w:sz w:val="22"/>
          <w:szCs w:val="22"/>
        </w:rPr>
        <w:t>por los bancos, las corporaciones financieras, las compañías de financiamiento, los organismos cooperativos de grado superior, las instituciones oficiales especiales y las cooperativas financieras</w:t>
      </w:r>
      <w:r w:rsidR="00536003" w:rsidRPr="00291475">
        <w:rPr>
          <w:rFonts w:ascii="Verdana" w:hAnsi="Verdana" w:cs="Arial"/>
          <w:bCs/>
          <w:sz w:val="22"/>
          <w:szCs w:val="22"/>
        </w:rPr>
        <w:t>,</w:t>
      </w:r>
      <w:r w:rsidR="00411FBE" w:rsidRPr="00291475">
        <w:rPr>
          <w:rFonts w:ascii="Verdana" w:hAnsi="Verdana" w:cs="Arial"/>
          <w:bCs/>
          <w:sz w:val="22"/>
          <w:szCs w:val="22"/>
        </w:rPr>
        <w:t xml:space="preserve"> y se toma en cuenta la </w:t>
      </w:r>
      <w:r w:rsidR="000A4B5F" w:rsidRPr="00291475">
        <w:rPr>
          <w:rFonts w:ascii="Verdana" w:hAnsi="Verdana" w:cs="Arial"/>
          <w:bCs/>
          <w:sz w:val="22"/>
          <w:szCs w:val="22"/>
        </w:rPr>
        <w:t xml:space="preserve">última </w:t>
      </w:r>
      <w:r w:rsidR="00411FBE" w:rsidRPr="00291475">
        <w:rPr>
          <w:rFonts w:ascii="Verdana" w:hAnsi="Verdana" w:cs="Arial"/>
          <w:bCs/>
          <w:sz w:val="22"/>
          <w:szCs w:val="22"/>
        </w:rPr>
        <w:t xml:space="preserve">información disponible reportada </w:t>
      </w:r>
      <w:r w:rsidR="008B0104" w:rsidRPr="00291475">
        <w:rPr>
          <w:rFonts w:ascii="Verdana" w:hAnsi="Verdana" w:cs="Arial"/>
          <w:bCs/>
          <w:sz w:val="22"/>
          <w:szCs w:val="22"/>
        </w:rPr>
        <w:t>de</w:t>
      </w:r>
      <w:r w:rsidR="00411FBE" w:rsidRPr="00291475">
        <w:rPr>
          <w:rFonts w:ascii="Verdana" w:hAnsi="Verdana" w:cs="Arial"/>
          <w:bCs/>
          <w:sz w:val="22"/>
          <w:szCs w:val="22"/>
        </w:rPr>
        <w:t xml:space="preserve"> cuatro (4) semanas anteriores a la certificación. </w:t>
      </w:r>
      <w:r w:rsidRPr="00291475">
        <w:rPr>
          <w:rFonts w:ascii="Verdana" w:hAnsi="Verdana" w:cs="Arial"/>
          <w:bCs/>
          <w:sz w:val="22"/>
          <w:szCs w:val="22"/>
        </w:rPr>
        <w:t xml:space="preserve"> </w:t>
      </w:r>
    </w:p>
    <w:p w14:paraId="7D1C6F3E" w14:textId="77777777" w:rsidR="00F7711B" w:rsidRPr="00291475" w:rsidRDefault="00F7711B" w:rsidP="00291475">
      <w:pPr>
        <w:spacing w:line="276" w:lineRule="auto"/>
        <w:jc w:val="both"/>
        <w:rPr>
          <w:rFonts w:ascii="Verdana" w:hAnsi="Verdana" w:cs="Arial"/>
          <w:bCs/>
          <w:sz w:val="22"/>
          <w:szCs w:val="22"/>
        </w:rPr>
      </w:pPr>
    </w:p>
    <w:p w14:paraId="44EBF68C" w14:textId="46E4A764" w:rsidR="00900F29" w:rsidRDefault="00817CBA" w:rsidP="00291475">
      <w:pPr>
        <w:spacing w:line="276" w:lineRule="auto"/>
        <w:jc w:val="both"/>
        <w:rPr>
          <w:rFonts w:ascii="Verdana" w:hAnsi="Verdana" w:cs="Arial"/>
          <w:bCs/>
          <w:sz w:val="22"/>
          <w:szCs w:val="22"/>
        </w:rPr>
      </w:pPr>
      <w:r w:rsidRPr="00291475">
        <w:rPr>
          <w:rFonts w:ascii="Verdana" w:hAnsi="Verdana" w:cs="Arial"/>
          <w:bCs/>
          <w:sz w:val="22"/>
          <w:szCs w:val="22"/>
        </w:rPr>
        <w:t>El cálculo de la Tasa de Interés Bancario Corriente para la categoría de consumo y ordinario corresponde al promedio ponderado de la tasa</w:t>
      </w:r>
      <w:r w:rsidR="00836E06" w:rsidRPr="00291475">
        <w:rPr>
          <w:rFonts w:ascii="Verdana" w:hAnsi="Verdana" w:cs="Arial"/>
          <w:bCs/>
          <w:sz w:val="22"/>
          <w:szCs w:val="22"/>
        </w:rPr>
        <w:t xml:space="preserve"> promedio ponderada</w:t>
      </w:r>
      <w:r w:rsidRPr="00291475">
        <w:rPr>
          <w:rFonts w:ascii="Verdana" w:hAnsi="Verdana" w:cs="Arial"/>
          <w:bCs/>
          <w:sz w:val="22"/>
          <w:szCs w:val="22"/>
        </w:rPr>
        <w:t xml:space="preserve"> efectiva anual de los créditos desembolsados. </w:t>
      </w:r>
    </w:p>
    <w:p w14:paraId="027A36A7" w14:textId="77777777" w:rsidR="00291475" w:rsidRPr="00291475" w:rsidRDefault="00291475" w:rsidP="00291475">
      <w:pPr>
        <w:spacing w:line="276" w:lineRule="auto"/>
        <w:jc w:val="both"/>
        <w:rPr>
          <w:rFonts w:ascii="Verdana" w:hAnsi="Verdana" w:cs="Arial"/>
          <w:bCs/>
          <w:sz w:val="22"/>
          <w:szCs w:val="22"/>
        </w:rPr>
      </w:pPr>
    </w:p>
    <w:p w14:paraId="0315E5B9" w14:textId="77777777" w:rsidR="00291475" w:rsidRDefault="00291475" w:rsidP="00291475">
      <w:pPr>
        <w:spacing w:line="276" w:lineRule="auto"/>
        <w:jc w:val="both"/>
        <w:rPr>
          <w:rFonts w:ascii="Verdana" w:hAnsi="Verdana" w:cs="Arial"/>
          <w:bCs/>
          <w:sz w:val="22"/>
          <w:szCs w:val="22"/>
        </w:rPr>
      </w:pPr>
    </w:p>
    <w:p w14:paraId="18F6C5A9" w14:textId="77777777" w:rsidR="00291475" w:rsidRDefault="00291475" w:rsidP="00291475">
      <w:pPr>
        <w:spacing w:line="276" w:lineRule="auto"/>
        <w:jc w:val="both"/>
        <w:rPr>
          <w:rFonts w:ascii="Verdana" w:hAnsi="Verdana" w:cs="Arial"/>
          <w:bCs/>
          <w:sz w:val="22"/>
          <w:szCs w:val="22"/>
        </w:rPr>
      </w:pPr>
    </w:p>
    <w:p w14:paraId="63363F1C" w14:textId="77777777" w:rsidR="00291475" w:rsidRDefault="00291475" w:rsidP="00291475">
      <w:pPr>
        <w:spacing w:line="276" w:lineRule="auto"/>
        <w:jc w:val="both"/>
        <w:rPr>
          <w:rFonts w:ascii="Verdana" w:hAnsi="Verdana" w:cs="Arial"/>
          <w:bCs/>
          <w:sz w:val="22"/>
          <w:szCs w:val="22"/>
        </w:rPr>
      </w:pPr>
    </w:p>
    <w:p w14:paraId="6E73F17B" w14:textId="77777777" w:rsidR="00291475" w:rsidRPr="00291475" w:rsidRDefault="00291475" w:rsidP="00291475">
      <w:pPr>
        <w:spacing w:line="276" w:lineRule="auto"/>
        <w:jc w:val="both"/>
        <w:rPr>
          <w:rFonts w:ascii="Verdana" w:hAnsi="Verdana" w:cs="Arial"/>
          <w:bCs/>
          <w:sz w:val="22"/>
          <w:szCs w:val="22"/>
        </w:rPr>
      </w:pPr>
    </w:p>
    <w:p w14:paraId="1F167C65" w14:textId="11F4D6F5" w:rsidR="009E55F8" w:rsidRPr="00291475" w:rsidRDefault="009E55F8" w:rsidP="00291475">
      <w:pPr>
        <w:numPr>
          <w:ilvl w:val="0"/>
          <w:numId w:val="42"/>
        </w:numPr>
        <w:spacing w:line="276" w:lineRule="auto"/>
        <w:ind w:left="540" w:hanging="540"/>
        <w:jc w:val="both"/>
        <w:rPr>
          <w:rFonts w:ascii="Verdana" w:hAnsi="Verdana" w:cs="Arial"/>
          <w:b/>
          <w:sz w:val="22"/>
          <w:szCs w:val="22"/>
          <w:u w:val="single"/>
        </w:rPr>
      </w:pPr>
      <w:r w:rsidRPr="00291475">
        <w:rPr>
          <w:rFonts w:ascii="Verdana" w:hAnsi="Verdana" w:cs="Arial"/>
          <w:b/>
          <w:sz w:val="22"/>
          <w:szCs w:val="22"/>
          <w:u w:val="single"/>
        </w:rPr>
        <w:lastRenderedPageBreak/>
        <w:t xml:space="preserve">Certificación </w:t>
      </w:r>
      <w:r w:rsidR="00F7711B" w:rsidRPr="00291475">
        <w:rPr>
          <w:rFonts w:ascii="Verdana" w:hAnsi="Verdana" w:cs="Arial"/>
          <w:b/>
          <w:sz w:val="22"/>
          <w:szCs w:val="22"/>
          <w:u w:val="single"/>
        </w:rPr>
        <w:t>para la modalidad</w:t>
      </w:r>
      <w:r w:rsidRPr="00291475">
        <w:rPr>
          <w:rFonts w:ascii="Verdana" w:hAnsi="Verdana" w:cs="Arial"/>
          <w:b/>
          <w:sz w:val="22"/>
          <w:szCs w:val="22"/>
          <w:u w:val="single"/>
        </w:rPr>
        <w:t xml:space="preserve"> de Crédito de Consumo de Bajo Monto </w:t>
      </w:r>
    </w:p>
    <w:p w14:paraId="3CAEF114" w14:textId="77777777" w:rsidR="009E55F8" w:rsidRPr="00291475" w:rsidRDefault="009E55F8" w:rsidP="00291475">
      <w:pPr>
        <w:spacing w:line="276" w:lineRule="auto"/>
        <w:ind w:left="720"/>
        <w:jc w:val="both"/>
        <w:rPr>
          <w:rFonts w:ascii="Verdana" w:hAnsi="Verdana" w:cs="Arial"/>
          <w:bCs/>
          <w:sz w:val="22"/>
          <w:szCs w:val="22"/>
        </w:rPr>
      </w:pPr>
    </w:p>
    <w:bookmarkEnd w:id="0"/>
    <w:p w14:paraId="531E91C3" w14:textId="7B76F9E9" w:rsidR="00570C29" w:rsidRPr="00291475" w:rsidRDefault="00570C29" w:rsidP="00291475">
      <w:pPr>
        <w:pBdr>
          <w:left w:val="single" w:sz="4" w:space="4" w:color="EE0000"/>
        </w:pBdr>
        <w:spacing w:line="276" w:lineRule="auto"/>
        <w:jc w:val="both"/>
        <w:rPr>
          <w:rFonts w:ascii="Verdana" w:hAnsi="Verdana" w:cs="Arial"/>
          <w:b/>
          <w:sz w:val="22"/>
          <w:szCs w:val="22"/>
        </w:rPr>
      </w:pPr>
      <w:r w:rsidRPr="00291475">
        <w:rPr>
          <w:rFonts w:ascii="Verdana" w:hAnsi="Verdana" w:cs="Arial"/>
          <w:b/>
          <w:sz w:val="22"/>
          <w:szCs w:val="22"/>
        </w:rPr>
        <w:t>Para la certificación se incluye la información de los desembolsos de créditos de consumo de bajo monto</w:t>
      </w:r>
      <w:r w:rsidR="006C6E40" w:rsidRPr="00291475">
        <w:rPr>
          <w:rStyle w:val="Refdenotaalpie"/>
          <w:rFonts w:ascii="Verdana" w:hAnsi="Verdana" w:cs="Arial"/>
          <w:b/>
          <w:sz w:val="22"/>
          <w:szCs w:val="22"/>
        </w:rPr>
        <w:footnoteReference w:id="6"/>
      </w:r>
      <w:r w:rsidRPr="00291475">
        <w:rPr>
          <w:rFonts w:ascii="Verdana" w:hAnsi="Verdana" w:cs="Arial"/>
          <w:b/>
          <w:sz w:val="22"/>
          <w:szCs w:val="22"/>
        </w:rPr>
        <w:t xml:space="preserve">, remitida por los bancos, las corporaciones financieras, las compañías de financiamiento, los organismos cooperativos de grado superior, las instituciones oficiales especiales y las cooperativas financieras. Para el cálculo se incluye la última información disponible reportada de cuatro (4) semanas anteriores a la certificación.  </w:t>
      </w:r>
    </w:p>
    <w:p w14:paraId="3E9040F1" w14:textId="3F1833F2" w:rsidR="0069670B" w:rsidRPr="00291475" w:rsidRDefault="0069670B" w:rsidP="00291475">
      <w:pPr>
        <w:spacing w:line="276" w:lineRule="auto"/>
        <w:jc w:val="both"/>
        <w:rPr>
          <w:rFonts w:ascii="Verdana" w:hAnsi="Verdana" w:cs="Arial"/>
          <w:bCs/>
          <w:sz w:val="22"/>
          <w:szCs w:val="22"/>
        </w:rPr>
      </w:pPr>
    </w:p>
    <w:bookmarkEnd w:id="1"/>
    <w:p w14:paraId="1B0140DC" w14:textId="2CE742D0" w:rsidR="00291475" w:rsidRPr="00291475" w:rsidRDefault="00291475" w:rsidP="00291475">
      <w:pPr>
        <w:pBdr>
          <w:left w:val="single" w:sz="4" w:space="4" w:color="EE0000"/>
        </w:pBdr>
        <w:spacing w:line="276" w:lineRule="auto"/>
        <w:jc w:val="both"/>
        <w:rPr>
          <w:rFonts w:ascii="Verdana" w:hAnsi="Verdana" w:cs="Arial"/>
          <w:b/>
          <w:sz w:val="22"/>
          <w:szCs w:val="22"/>
        </w:rPr>
      </w:pPr>
      <w:r w:rsidRPr="00291475">
        <w:rPr>
          <w:rFonts w:ascii="Verdana" w:hAnsi="Verdana" w:cs="Arial"/>
          <w:b/>
          <w:sz w:val="22"/>
          <w:szCs w:val="22"/>
        </w:rPr>
        <w:t xml:space="preserve">El cálculo de la Tasa de Interés Bancario Corriente para la categoría de </w:t>
      </w:r>
      <w:r>
        <w:rPr>
          <w:rFonts w:ascii="Verdana" w:hAnsi="Verdana" w:cs="Arial"/>
          <w:b/>
          <w:sz w:val="22"/>
          <w:szCs w:val="22"/>
        </w:rPr>
        <w:t>consumo de bajo monto</w:t>
      </w:r>
      <w:r w:rsidRPr="00291475">
        <w:rPr>
          <w:rFonts w:ascii="Verdana" w:hAnsi="Verdana" w:cs="Arial"/>
          <w:b/>
          <w:sz w:val="22"/>
          <w:szCs w:val="22"/>
        </w:rPr>
        <w:t xml:space="preserve"> corresponde al promedio ponderado de la tasa promedio ponderada efectiva anual de los créditos desembolsados. </w:t>
      </w:r>
    </w:p>
    <w:p w14:paraId="1E8D8EF4" w14:textId="77777777" w:rsidR="0069670B" w:rsidRPr="00291475" w:rsidRDefault="0069670B" w:rsidP="00291475">
      <w:pPr>
        <w:spacing w:line="276" w:lineRule="auto"/>
        <w:jc w:val="both"/>
        <w:rPr>
          <w:rFonts w:ascii="Verdana" w:hAnsi="Verdana" w:cs="Arial"/>
          <w:bCs/>
          <w:sz w:val="22"/>
          <w:szCs w:val="22"/>
        </w:rPr>
      </w:pPr>
    </w:p>
    <w:sectPr w:rsidR="0069670B" w:rsidRPr="00291475" w:rsidSect="00CD1DFA">
      <w:type w:val="continuous"/>
      <w:pgSz w:w="12240" w:h="15840" w:code="1"/>
      <w:pgMar w:top="0" w:right="1325" w:bottom="851" w:left="1276"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91B74" w14:textId="77777777" w:rsidR="006C0572" w:rsidRDefault="006C0572" w:rsidP="004E53A7">
      <w:r>
        <w:separator/>
      </w:r>
    </w:p>
  </w:endnote>
  <w:endnote w:type="continuationSeparator" w:id="0">
    <w:p w14:paraId="03C6563C" w14:textId="77777777" w:rsidR="006C0572" w:rsidRDefault="006C0572" w:rsidP="004E5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DADF" w14:textId="77777777" w:rsidR="00291475" w:rsidRDefault="00291475" w:rsidP="00291475">
    <w:pPr>
      <w:pStyle w:val="Piedepgina"/>
      <w:rPr>
        <w:rFonts w:ascii="Verdana" w:hAnsi="Verdana"/>
        <w:b/>
        <w:bCs/>
      </w:rPr>
    </w:pPr>
  </w:p>
  <w:p w14:paraId="197F1143" w14:textId="5040D381" w:rsidR="00291475" w:rsidRPr="000D6307" w:rsidRDefault="00291475" w:rsidP="00291475">
    <w:pPr>
      <w:pStyle w:val="Piedepgina"/>
      <w:rPr>
        <w:rFonts w:ascii="Verdana" w:hAnsi="Verdana"/>
        <w:b/>
        <w:bCs/>
      </w:rPr>
    </w:pPr>
    <w:r w:rsidRPr="000D6307">
      <w:rPr>
        <w:rFonts w:ascii="Verdana" w:hAnsi="Verdana"/>
        <w:b/>
        <w:bCs/>
      </w:rPr>
      <w:t>Contacto de prensa</w:t>
    </w:r>
  </w:p>
  <w:p w14:paraId="3AC602A5" w14:textId="77777777" w:rsidR="00291475" w:rsidRPr="000D6307" w:rsidRDefault="00291475" w:rsidP="00291475">
    <w:pPr>
      <w:pStyle w:val="Piedepgina"/>
      <w:rPr>
        <w:rFonts w:ascii="Verdana" w:hAnsi="Verdana"/>
        <w:sz w:val="18"/>
        <w:szCs w:val="18"/>
      </w:rPr>
    </w:pPr>
    <w:hyperlink r:id="rId1" w:history="1">
      <w:r w:rsidRPr="000D6307">
        <w:rPr>
          <w:rStyle w:val="Hipervnculo"/>
          <w:rFonts w:ascii="Verdana" w:hAnsi="Verdana"/>
          <w:sz w:val="18"/>
          <w:szCs w:val="18"/>
        </w:rPr>
        <w:t>comunicacionessfc@superfinanciera.gov.co</w:t>
      </w:r>
    </w:hyperlink>
  </w:p>
  <w:p w14:paraId="59603C79" w14:textId="77777777" w:rsidR="00291475" w:rsidRPr="000D6307" w:rsidRDefault="00291475" w:rsidP="00291475">
    <w:pPr>
      <w:pStyle w:val="Piedepgina"/>
      <w:rPr>
        <w:rFonts w:ascii="Verdana" w:hAnsi="Verdana"/>
        <w:sz w:val="18"/>
        <w:szCs w:val="18"/>
      </w:rPr>
    </w:pPr>
    <w:r w:rsidRPr="000D6307">
      <w:rPr>
        <w:rFonts w:ascii="Verdana" w:hAnsi="Verdana"/>
        <w:sz w:val="18"/>
        <w:szCs w:val="18"/>
      </w:rPr>
      <w:t>Tel.: (57) 601 594 02 00 – 601 594 02 01 ext. 1556/1515/1516</w:t>
    </w:r>
  </w:p>
  <w:p w14:paraId="5BFCC133" w14:textId="77777777" w:rsidR="00291475" w:rsidRPr="00294C45" w:rsidRDefault="00291475" w:rsidP="00291475">
    <w:pPr>
      <w:spacing w:line="276" w:lineRule="auto"/>
      <w:jc w:val="both"/>
      <w:rPr>
        <w:rFonts w:ascii="Verdana" w:eastAsiaTheme="minorHAnsi" w:hAnsi="Verdana" w:cstheme="minorBidi"/>
        <w:kern w:val="2"/>
        <w:lang w:val="es-CO" w:eastAsia="en-US"/>
        <w14:ligatures w14:val="standardContextual"/>
      </w:rPr>
    </w:pPr>
    <w:r>
      <w:rPr>
        <w:noProof/>
        <w14:ligatures w14:val="standardContextual"/>
      </w:rPr>
      <mc:AlternateContent>
        <mc:Choice Requires="wps">
          <w:drawing>
            <wp:anchor distT="0" distB="0" distL="114300" distR="114300" simplePos="0" relativeHeight="251659264" behindDoc="0" locked="0" layoutInCell="1" allowOverlap="1" wp14:anchorId="0A8CBA2A" wp14:editId="53CEA1AB">
              <wp:simplePos x="0" y="0"/>
              <wp:positionH relativeFrom="page">
                <wp:align>right</wp:align>
              </wp:positionH>
              <wp:positionV relativeFrom="paragraph">
                <wp:posOffset>433754</wp:posOffset>
              </wp:positionV>
              <wp:extent cx="7774452" cy="182880"/>
              <wp:effectExtent l="0" t="0" r="0" b="7620"/>
              <wp:wrapNone/>
              <wp:docPr id="1778402513" name="Rectángulo 3"/>
              <wp:cNvGraphicFramePr/>
              <a:graphic xmlns:a="http://schemas.openxmlformats.org/drawingml/2006/main">
                <a:graphicData uri="http://schemas.microsoft.com/office/word/2010/wordprocessingShape">
                  <wps:wsp>
                    <wps:cNvSpPr/>
                    <wps:spPr>
                      <a:xfrm>
                        <a:off x="0" y="0"/>
                        <a:ext cx="7774452" cy="18288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0C1FD" id="Rectángulo 3" o:spid="_x0000_s1026" style="position:absolute;margin-left:560.95pt;margin-top:34.15pt;width:612.15pt;height:14.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" fillcolor="gray [1629]" stroked="f" strokeweight="1pt">
              <w10:wrap anchorx="page"/>
            </v:rect>
          </w:pict>
        </mc:Fallback>
      </mc:AlternateContent>
    </w:r>
    <w:r>
      <w:rPr>
        <w:noProof/>
        <w:lang w:eastAsia="es-CO"/>
      </w:rPr>
      <mc:AlternateContent>
        <mc:Choice Requires="wps">
          <w:drawing>
            <wp:anchor distT="0" distB="0" distL="114300" distR="114300" simplePos="0" relativeHeight="251660288" behindDoc="0" locked="0" layoutInCell="1" allowOverlap="1" wp14:anchorId="391CF0BE" wp14:editId="264C77C6">
              <wp:simplePos x="0" y="0"/>
              <wp:positionH relativeFrom="margin">
                <wp:posOffset>1907540</wp:posOffset>
              </wp:positionH>
              <wp:positionV relativeFrom="paragraph">
                <wp:posOffset>391350</wp:posOffset>
              </wp:positionV>
              <wp:extent cx="914400" cy="370840"/>
              <wp:effectExtent l="0" t="0" r="0" b="0"/>
              <wp:wrapNone/>
              <wp:docPr id="9237776" name="Cuadro de texto 3"/>
              <wp:cNvGraphicFramePr/>
              <a:graphic xmlns:a="http://schemas.openxmlformats.org/drawingml/2006/main">
                <a:graphicData uri="http://schemas.microsoft.com/office/word/2010/wordprocessingShape">
                  <wps:wsp>
                    <wps:cNvSpPr txBox="1"/>
                    <wps:spPr>
                      <a:xfrm>
                        <a:off x="0" y="0"/>
                        <a:ext cx="914400" cy="370840"/>
                      </a:xfrm>
                      <a:prstGeom prst="rect">
                        <a:avLst/>
                      </a:prstGeom>
                      <a:noFill/>
                      <a:ln w="6350">
                        <a:noFill/>
                      </a:ln>
                    </wps:spPr>
                    <wps:txbx>
                      <w:txbxContent>
                        <w:p w14:paraId="5D8749C7" w14:textId="77777777" w:rsidR="00291475" w:rsidRPr="005026FB" w:rsidRDefault="00291475" w:rsidP="00291475">
                          <w:pPr>
                            <w:jc w:val="center"/>
                            <w:rPr>
                              <w:rFonts w:ascii="Verdana" w:hAnsi="Verdana"/>
                              <w:color w:val="FFFFFF" w:themeColor="background1"/>
                              <w:sz w:val="18"/>
                              <w:szCs w:val="18"/>
                              <w:lang w:val="es-MX"/>
                            </w:rPr>
                          </w:pPr>
                          <w:r>
                            <w:rPr>
                              <w:rFonts w:ascii="Verdana" w:hAnsi="Verdana"/>
                              <w:color w:val="FFFFFF" w:themeColor="background1"/>
                              <w:sz w:val="18"/>
                              <w:szCs w:val="18"/>
                              <w:lang w:val="es-MX"/>
                            </w:rPr>
                            <w:t>w</w:t>
                          </w:r>
                          <w:r w:rsidRPr="005026FB">
                            <w:rPr>
                              <w:rFonts w:ascii="Verdana" w:hAnsi="Verdana"/>
                              <w:color w:val="FFFFFF" w:themeColor="background1"/>
                              <w:sz w:val="18"/>
                              <w:szCs w:val="18"/>
                              <w:lang w:val="es-MX"/>
                            </w:rPr>
                            <w:t>ww</w:t>
                          </w:r>
                          <w:r>
                            <w:rPr>
                              <w:rFonts w:ascii="Verdana" w:hAnsi="Verdana"/>
                              <w:color w:val="FFFFFF" w:themeColor="background1"/>
                              <w:sz w:val="18"/>
                              <w:szCs w:val="18"/>
                              <w:lang w:val="es-MX"/>
                            </w:rPr>
                            <w:t>.superfinanciera.</w:t>
                          </w:r>
                          <w:r w:rsidRPr="005026FB">
                            <w:rPr>
                              <w:rFonts w:ascii="Verdana" w:hAnsi="Verdana"/>
                              <w:color w:val="FFFFFF" w:themeColor="background1"/>
                              <w:sz w:val="18"/>
                              <w:szCs w:val="18"/>
                              <w:lang w:val="es-MX"/>
                            </w:rPr>
                            <w:t>gov.co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CF0BE" id="_x0000_t202" coordsize="21600,21600" o:spt="202" path="m,l,21600r21600,l21600,xe">
              <v:stroke joinstyle="miter"/>
              <v:path gradientshapeok="t" o:connecttype="rect"/>
            </v:shapetype>
            <v:shape id="Cuadro de texto 3" o:spid="_x0000_s1027" type="#_x0000_t202" style="position:absolute;left:0;text-align:left;margin-left:150.2pt;margin-top:30.8pt;width:1in;height:29.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" filled="f" stroked="f" strokeweight=".5pt">
              <v:textbox>
                <w:txbxContent>
                  <w:p w14:paraId="5D8749C7" w14:textId="77777777" w:rsidR="00291475" w:rsidRPr="005026FB" w:rsidRDefault="00291475" w:rsidP="00291475">
                    <w:pPr>
                      <w:jc w:val="center"/>
                      <w:rPr>
                        <w:rFonts w:ascii="Verdana" w:hAnsi="Verdana"/>
                        <w:color w:val="FFFFFF" w:themeColor="background1"/>
                        <w:sz w:val="18"/>
                        <w:szCs w:val="18"/>
                        <w:lang w:val="es-MX"/>
                      </w:rPr>
                    </w:pPr>
                    <w:r>
                      <w:rPr>
                        <w:rFonts w:ascii="Verdana" w:hAnsi="Verdana"/>
                        <w:color w:val="FFFFFF" w:themeColor="background1"/>
                        <w:sz w:val="18"/>
                        <w:szCs w:val="18"/>
                        <w:lang w:val="es-MX"/>
                      </w:rPr>
                      <w:t>w</w:t>
                    </w:r>
                    <w:r w:rsidRPr="005026FB">
                      <w:rPr>
                        <w:rFonts w:ascii="Verdana" w:hAnsi="Verdana"/>
                        <w:color w:val="FFFFFF" w:themeColor="background1"/>
                        <w:sz w:val="18"/>
                        <w:szCs w:val="18"/>
                        <w:lang w:val="es-MX"/>
                      </w:rPr>
                      <w:t>ww</w:t>
                    </w:r>
                    <w:r>
                      <w:rPr>
                        <w:rFonts w:ascii="Verdana" w:hAnsi="Verdana"/>
                        <w:color w:val="FFFFFF" w:themeColor="background1"/>
                        <w:sz w:val="18"/>
                        <w:szCs w:val="18"/>
                        <w:lang w:val="es-MX"/>
                      </w:rPr>
                      <w:t>.superfinanciera.</w:t>
                    </w:r>
                    <w:r w:rsidRPr="005026FB">
                      <w:rPr>
                        <w:rFonts w:ascii="Verdana" w:hAnsi="Verdana"/>
                        <w:color w:val="FFFFFF" w:themeColor="background1"/>
                        <w:sz w:val="18"/>
                        <w:szCs w:val="18"/>
                        <w:lang w:val="es-MX"/>
                      </w:rPr>
                      <w:t>gov.co</w:t>
                    </w:r>
                  </w:p>
                </w:txbxContent>
              </v:textbox>
              <w10:wrap anchorx="margin"/>
            </v:shape>
          </w:pict>
        </mc:Fallback>
      </mc:AlternateContent>
    </w:r>
    <w:r w:rsidRPr="000D6307">
      <w:rPr>
        <w:rFonts w:ascii="Verdana" w:eastAsiaTheme="minorHAnsi" w:hAnsi="Verdana" w:cstheme="minorBidi"/>
        <w:kern w:val="2"/>
        <w:sz w:val="18"/>
        <w:szCs w:val="18"/>
        <w:lang w:val="es-CO" w:eastAsia="en-US"/>
        <w14:ligatures w14:val="standardContextual"/>
      </w:rPr>
      <w:t>Calle 7 No. 4 – 49 Bogotá, D. C.</w:t>
    </w:r>
  </w:p>
  <w:p w14:paraId="5A853390" w14:textId="1871B707" w:rsidR="00F97B17" w:rsidRDefault="00291475" w:rsidP="004B1E7D">
    <w:pPr>
      <w:pStyle w:val="Piedepgina"/>
      <w:jc w:val="right"/>
    </w:pPr>
    <w:r>
      <w:rPr>
        <w:rFonts w:ascii="Arial" w:hAnsi="Arial" w:cs="Arial"/>
        <w:noProof/>
      </w:rPr>
      <w:t xml:space="preserve"> </w:t>
    </w:r>
    <w:r w:rsidR="00180848">
      <w:rPr>
        <w:noProof/>
        <w:lang w:eastAsia="es-C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B909B" w14:textId="77777777" w:rsidR="006C0572" w:rsidRDefault="006C0572" w:rsidP="004E53A7">
      <w:r>
        <w:separator/>
      </w:r>
    </w:p>
  </w:footnote>
  <w:footnote w:type="continuationSeparator" w:id="0">
    <w:p w14:paraId="5933C810" w14:textId="77777777" w:rsidR="006C0572" w:rsidRDefault="006C0572" w:rsidP="004E53A7">
      <w:r>
        <w:continuationSeparator/>
      </w:r>
    </w:p>
  </w:footnote>
  <w:footnote w:id="1">
    <w:p w14:paraId="22C951E7" w14:textId="77777777" w:rsidR="00F7711B" w:rsidRPr="003E4816" w:rsidRDefault="00F7711B" w:rsidP="00F7711B">
      <w:pPr>
        <w:pStyle w:val="Textonotapie"/>
        <w:rPr>
          <w:lang w:val="es-CO"/>
        </w:rPr>
      </w:pPr>
      <w:r w:rsidRPr="00F31345">
        <w:rPr>
          <w:rStyle w:val="Refdenotaalpie"/>
        </w:rPr>
        <w:footnoteRef/>
      </w:r>
      <w:r w:rsidRPr="00F31345">
        <w:rPr>
          <w:rStyle w:val="Refdenotaalpie"/>
        </w:rPr>
        <w:t xml:space="preserve"> </w:t>
      </w:r>
      <w:r w:rsidRPr="00F31345">
        <w:rPr>
          <w:rFonts w:ascii="Arial" w:hAnsi="Arial" w:cs="Arial"/>
          <w:sz w:val="18"/>
          <w:szCs w:val="18"/>
        </w:rPr>
        <w:t xml:space="preserve">Decreto 455 del 29 de </w:t>
      </w:r>
      <w:r w:rsidRPr="003E4816">
        <w:rPr>
          <w:rFonts w:ascii="Arial" w:hAnsi="Arial" w:cs="Arial"/>
          <w:sz w:val="18"/>
          <w:szCs w:val="18"/>
        </w:rPr>
        <w:t>marzo de 2023, se crearon las modalidades de crédito popular productivo rural y urbano, crédito productivo rural y urbano y crédito productivo de mayor monto.</w:t>
      </w:r>
    </w:p>
  </w:footnote>
  <w:footnote w:id="2">
    <w:p w14:paraId="36B49E8E" w14:textId="3373FE9A" w:rsidR="00900F29" w:rsidRPr="00915A73" w:rsidRDefault="009E55F8" w:rsidP="003E4816">
      <w:pPr>
        <w:jc w:val="both"/>
        <w:rPr>
          <w:rFonts w:ascii="Arial" w:hAnsi="Arial" w:cs="Arial"/>
          <w:sz w:val="18"/>
          <w:szCs w:val="18"/>
        </w:rPr>
      </w:pPr>
      <w:r w:rsidRPr="003E4816">
        <w:rPr>
          <w:rStyle w:val="Refdenotaalpie"/>
          <w:rFonts w:ascii="Arial" w:hAnsi="Arial" w:cs="Arial"/>
          <w:sz w:val="18"/>
          <w:szCs w:val="18"/>
        </w:rPr>
        <w:footnoteRef/>
      </w:r>
      <w:r w:rsidRPr="003E4816">
        <w:rPr>
          <w:rFonts w:ascii="Arial" w:hAnsi="Arial" w:cs="Arial"/>
          <w:sz w:val="18"/>
          <w:szCs w:val="18"/>
        </w:rPr>
        <w:t xml:space="preserve"> </w:t>
      </w:r>
      <w:r w:rsidR="00900F29" w:rsidRPr="003E4816">
        <w:rPr>
          <w:rFonts w:ascii="Arial" w:hAnsi="Arial" w:cs="Arial"/>
          <w:sz w:val="18"/>
          <w:szCs w:val="18"/>
        </w:rPr>
        <w:t>Permite conocer y divulgar la estructura de las tasas de interés activas, clasificadas por tipo de persona, sexo, tamaño de empresa, modalidad, tipo de crédito, tipo de garantía, tipo de producto</w:t>
      </w:r>
      <w:r w:rsidR="006C69AC" w:rsidRPr="003E4816">
        <w:rPr>
          <w:rFonts w:ascii="Arial" w:hAnsi="Arial" w:cs="Arial"/>
          <w:sz w:val="18"/>
          <w:szCs w:val="18"/>
        </w:rPr>
        <w:t>,</w:t>
      </w:r>
      <w:r w:rsidR="00900F29" w:rsidRPr="003E4816">
        <w:rPr>
          <w:rFonts w:ascii="Arial" w:hAnsi="Arial" w:cs="Arial"/>
          <w:sz w:val="18"/>
          <w:szCs w:val="18"/>
        </w:rPr>
        <w:t xml:space="preserve"> </w:t>
      </w:r>
      <w:r w:rsidR="006C69AC" w:rsidRPr="003E4816">
        <w:rPr>
          <w:rFonts w:ascii="Arial" w:hAnsi="Arial" w:cs="Arial"/>
          <w:sz w:val="18"/>
          <w:szCs w:val="18"/>
        </w:rPr>
        <w:t>plazo del crédito, grupo étnico, antigüedad de la empresa, tipo de tasa, rango por monto desembolsado en salarios mínimos legales mensuales vigentes (SMLMV), clase de deudor, código CIIU y código del municipio</w:t>
      </w:r>
      <w:r w:rsidR="00900F29" w:rsidRPr="003E4816">
        <w:rPr>
          <w:rFonts w:ascii="Arial" w:hAnsi="Arial" w:cs="Arial"/>
          <w:sz w:val="18"/>
          <w:szCs w:val="18"/>
        </w:rPr>
        <w:t>,</w:t>
      </w:r>
      <w:r w:rsidR="00900F29" w:rsidRPr="00D17248">
        <w:rPr>
          <w:rFonts w:ascii="Arial" w:hAnsi="Arial" w:cs="Arial"/>
          <w:sz w:val="18"/>
          <w:szCs w:val="18"/>
        </w:rPr>
        <w:t xml:space="preserve"> así como el número y monto de créditos desembolsados durante la semana. Aplica para los establecimientos bancarios, las corporaciones financieras, las compañías de financiamiento, los organismos cooperativos de grado superior, las cooperativas financieras y las instituciones oficiales especiales. Así mismo, en el Formato 414 las entidades continúan reportando a la SFC la tasa efectiva anual promedio ponderada por los montos de los créditos desembolsados durante la semana respectiva y el valor total de estos últimos con base en los atributos que se han definido.</w:t>
      </w:r>
    </w:p>
    <w:p w14:paraId="33594305" w14:textId="1B7EB40F" w:rsidR="009E55F8" w:rsidRPr="0069670B" w:rsidRDefault="009E55F8" w:rsidP="0069670B">
      <w:pPr>
        <w:jc w:val="both"/>
        <w:rPr>
          <w:rFonts w:ascii="Arial" w:hAnsi="Arial" w:cs="Arial"/>
          <w:sz w:val="18"/>
          <w:szCs w:val="18"/>
        </w:rPr>
      </w:pPr>
    </w:p>
  </w:footnote>
  <w:footnote w:id="3">
    <w:p w14:paraId="284DAF39" w14:textId="2F0C1484" w:rsidR="009E55F8" w:rsidRPr="0069670B" w:rsidRDefault="009E55F8" w:rsidP="0069670B">
      <w:pPr>
        <w:pStyle w:val="Textonotapie"/>
        <w:jc w:val="both"/>
        <w:rPr>
          <w:rFonts w:ascii="Arial" w:hAnsi="Arial" w:cs="Arial"/>
          <w:sz w:val="18"/>
          <w:szCs w:val="18"/>
        </w:rPr>
      </w:pPr>
      <w:r w:rsidRPr="0069670B">
        <w:rPr>
          <w:rStyle w:val="Refdenotaalpie"/>
        </w:rPr>
        <w:footnoteRef/>
      </w:r>
      <w:r w:rsidRPr="0069670B">
        <w:rPr>
          <w:rFonts w:ascii="Arial" w:hAnsi="Arial" w:cs="Arial"/>
          <w:sz w:val="18"/>
          <w:szCs w:val="18"/>
        </w:rPr>
        <w:t xml:space="preserve"> </w:t>
      </w:r>
      <w:r w:rsidR="00817CBA">
        <w:rPr>
          <w:rFonts w:ascii="Arial" w:hAnsi="Arial" w:cs="Arial"/>
          <w:sz w:val="18"/>
          <w:szCs w:val="18"/>
        </w:rPr>
        <w:t>S</w:t>
      </w:r>
      <w:r w:rsidR="00730C32" w:rsidRPr="0069670B">
        <w:rPr>
          <w:rFonts w:ascii="Arial" w:hAnsi="Arial" w:cs="Arial"/>
          <w:sz w:val="18"/>
          <w:szCs w:val="18"/>
        </w:rPr>
        <w:t xml:space="preserve">e realiza el promedio ponderado </w:t>
      </w:r>
      <w:r w:rsidR="00AC182B" w:rsidRPr="0069670B">
        <w:rPr>
          <w:rFonts w:ascii="Arial" w:hAnsi="Arial" w:cs="Arial"/>
          <w:sz w:val="18"/>
          <w:szCs w:val="18"/>
        </w:rPr>
        <w:t xml:space="preserve">por plazo </w:t>
      </w:r>
      <w:r w:rsidR="00730C32" w:rsidRPr="0069670B">
        <w:rPr>
          <w:rFonts w:ascii="Arial" w:hAnsi="Arial" w:cs="Arial"/>
          <w:sz w:val="18"/>
          <w:szCs w:val="18"/>
        </w:rPr>
        <w:t>de los siguientes productos</w:t>
      </w:r>
      <w:r w:rsidR="00EF7CFA" w:rsidRPr="0069670B">
        <w:rPr>
          <w:rFonts w:ascii="Arial" w:hAnsi="Arial" w:cs="Arial"/>
          <w:sz w:val="18"/>
          <w:szCs w:val="18"/>
        </w:rPr>
        <w:t xml:space="preserve">: crédito rotativo, libre inversión, libranza salud, </w:t>
      </w:r>
      <w:proofErr w:type="gramStart"/>
      <w:r w:rsidR="0064486D" w:rsidRPr="0069670B">
        <w:rPr>
          <w:rFonts w:ascii="Arial" w:hAnsi="Arial" w:cs="Arial"/>
          <w:sz w:val="18"/>
          <w:szCs w:val="18"/>
        </w:rPr>
        <w:t>libranza educativ</w:t>
      </w:r>
      <w:r w:rsidR="0064486D">
        <w:rPr>
          <w:rFonts w:ascii="Arial" w:hAnsi="Arial" w:cs="Arial"/>
          <w:sz w:val="18"/>
          <w:szCs w:val="18"/>
        </w:rPr>
        <w:t>o</w:t>
      </w:r>
      <w:proofErr w:type="gramEnd"/>
      <w:r w:rsidR="00EF7CFA" w:rsidRPr="0069670B">
        <w:rPr>
          <w:rFonts w:ascii="Arial" w:hAnsi="Arial" w:cs="Arial"/>
          <w:sz w:val="18"/>
          <w:szCs w:val="18"/>
        </w:rPr>
        <w:t>, libranza otros, vehículo, créditos educativos diferentes a libranza y consumo otros</w:t>
      </w:r>
      <w:r w:rsidR="001E6921" w:rsidRPr="0069670B">
        <w:rPr>
          <w:rFonts w:ascii="Arial" w:hAnsi="Arial" w:cs="Arial"/>
          <w:sz w:val="18"/>
          <w:szCs w:val="18"/>
        </w:rPr>
        <w:t>.</w:t>
      </w:r>
      <w:r w:rsidR="00EF7CFA" w:rsidRPr="0069670B">
        <w:rPr>
          <w:rFonts w:ascii="Arial" w:hAnsi="Arial" w:cs="Arial"/>
          <w:sz w:val="18"/>
          <w:szCs w:val="18"/>
        </w:rPr>
        <w:t xml:space="preserve"> </w:t>
      </w:r>
    </w:p>
  </w:footnote>
  <w:footnote w:id="4">
    <w:p w14:paraId="4747E138" w14:textId="250D44ED" w:rsidR="009E55F8" w:rsidRPr="00570C29" w:rsidRDefault="009E55F8" w:rsidP="00570C29">
      <w:pPr>
        <w:pStyle w:val="Textonotapie"/>
        <w:jc w:val="both"/>
        <w:rPr>
          <w:rFonts w:ascii="Arial" w:hAnsi="Arial" w:cs="Arial"/>
          <w:sz w:val="18"/>
          <w:szCs w:val="18"/>
        </w:rPr>
      </w:pPr>
      <w:r w:rsidRPr="00570C29">
        <w:rPr>
          <w:rStyle w:val="Refdenotaalpie"/>
        </w:rPr>
        <w:footnoteRef/>
      </w:r>
      <w:r w:rsidR="00EF7CFA" w:rsidRPr="00570C29">
        <w:rPr>
          <w:rStyle w:val="Refdenotaalpie"/>
        </w:rPr>
        <w:t xml:space="preserve"> </w:t>
      </w:r>
      <w:r w:rsidR="00814CF6" w:rsidRPr="00570C29">
        <w:rPr>
          <w:rFonts w:ascii="Arial" w:hAnsi="Arial" w:cs="Arial"/>
        </w:rPr>
        <w:t>S</w:t>
      </w:r>
      <w:r w:rsidR="00814CF6" w:rsidRPr="00570C29">
        <w:rPr>
          <w:rFonts w:ascii="Arial" w:hAnsi="Arial" w:cs="Arial"/>
          <w:sz w:val="18"/>
          <w:szCs w:val="18"/>
        </w:rPr>
        <w:t xml:space="preserve">e realiza el promedio ponderado por plazo de los siguientes productos incluyendo operaciones de redescuento: Comerciales con recursos provenientes de redescuento, empresarial, oficial o Gobierno, </w:t>
      </w:r>
      <w:proofErr w:type="spellStart"/>
      <w:r w:rsidR="00814CF6" w:rsidRPr="00570C29">
        <w:rPr>
          <w:rFonts w:ascii="Arial" w:hAnsi="Arial" w:cs="Arial"/>
          <w:sz w:val="18"/>
          <w:szCs w:val="18"/>
        </w:rPr>
        <w:t>factoring</w:t>
      </w:r>
      <w:proofErr w:type="spellEnd"/>
      <w:r w:rsidR="00814CF6" w:rsidRPr="00570C29">
        <w:rPr>
          <w:rFonts w:ascii="Arial" w:hAnsi="Arial" w:cs="Arial"/>
          <w:sz w:val="18"/>
          <w:szCs w:val="18"/>
        </w:rPr>
        <w:t>, financiero e institucional, construcción - financiación de proyectos viales en pesos, construcción de proyectos de vivienda NO VIS (colocación en pesos),  construcción de proyectos de vivienda NO VIS (colocación en UVR), construcción de proyectos de vivienda VIS (colocación en pesos), construcción de proyectos de vivienda  VIS (colocación en UVR), otros construcción (colocación en pesos), leasing financiero – financiaciones inmuebles diferente de habitacional, leasing financiero – financiación vehículos, leasing financiero – financiación maquinaria y equipo, leasing financiero – otros, otros Construcción (Colocación en UVR), construcción - financiación de proyectos viales en UVR y otros comercial.</w:t>
      </w:r>
    </w:p>
  </w:footnote>
  <w:footnote w:id="5">
    <w:p w14:paraId="2B980513" w14:textId="515D0BFE" w:rsidR="009E55F8" w:rsidRPr="0069670B" w:rsidRDefault="009E55F8" w:rsidP="0069670B">
      <w:pPr>
        <w:pStyle w:val="Textonotapie"/>
        <w:jc w:val="both"/>
        <w:rPr>
          <w:rFonts w:ascii="Arial" w:hAnsi="Arial" w:cs="Arial"/>
          <w:sz w:val="18"/>
          <w:szCs w:val="18"/>
        </w:rPr>
      </w:pPr>
      <w:r w:rsidRPr="00411FBE">
        <w:rPr>
          <w:rStyle w:val="Refdenotaalpie"/>
          <w:b/>
          <w:bCs/>
        </w:rPr>
        <w:footnoteRef/>
      </w:r>
      <w:r w:rsidRPr="00411FBE">
        <w:rPr>
          <w:rStyle w:val="Refdenotaalpie"/>
          <w:b/>
          <w:bCs/>
        </w:rPr>
        <w:t xml:space="preserve"> </w:t>
      </w:r>
      <w:r w:rsidR="00817CBA" w:rsidRPr="00817CBA">
        <w:rPr>
          <w:rFonts w:ascii="Arial" w:hAnsi="Arial" w:cs="Arial"/>
        </w:rPr>
        <w:t>C</w:t>
      </w:r>
      <w:r w:rsidR="00884B37" w:rsidRPr="0069670B">
        <w:rPr>
          <w:rFonts w:ascii="Arial" w:hAnsi="Arial" w:cs="Arial"/>
          <w:sz w:val="18"/>
          <w:szCs w:val="18"/>
        </w:rPr>
        <w:t>orresponde a</w:t>
      </w:r>
      <w:r w:rsidR="00730C32" w:rsidRPr="0069670B">
        <w:rPr>
          <w:rFonts w:ascii="Arial" w:hAnsi="Arial" w:cs="Arial"/>
          <w:sz w:val="18"/>
          <w:szCs w:val="18"/>
        </w:rPr>
        <w:t xml:space="preserve">l producto </w:t>
      </w:r>
      <w:r w:rsidR="00884B37" w:rsidRPr="0069670B">
        <w:rPr>
          <w:rFonts w:ascii="Arial" w:hAnsi="Arial" w:cs="Arial"/>
          <w:sz w:val="18"/>
          <w:szCs w:val="18"/>
        </w:rPr>
        <w:t>tarjeta de crédito para ingresos hasta dos (2) SMMLV y superiores a dos (2) SMMLV, sin incluir los consumos a un (1) mes</w:t>
      </w:r>
      <w:r w:rsidR="001E6921" w:rsidRPr="0069670B">
        <w:rPr>
          <w:rFonts w:ascii="Arial" w:hAnsi="Arial" w:cs="Arial"/>
          <w:sz w:val="18"/>
          <w:szCs w:val="18"/>
        </w:rPr>
        <w:t>.</w:t>
      </w:r>
    </w:p>
  </w:footnote>
  <w:footnote w:id="6">
    <w:p w14:paraId="1E5E683E" w14:textId="3C19BBA1" w:rsidR="006C6E40" w:rsidRPr="00570C29" w:rsidRDefault="006C6E40" w:rsidP="006C6E40">
      <w:pPr>
        <w:pStyle w:val="Textonotapie"/>
        <w:jc w:val="both"/>
        <w:rPr>
          <w:rFonts w:ascii="Arial" w:hAnsi="Arial" w:cs="Arial"/>
          <w:sz w:val="18"/>
          <w:szCs w:val="18"/>
        </w:rPr>
      </w:pPr>
      <w:r w:rsidRPr="00570C29">
        <w:rPr>
          <w:rStyle w:val="Refdenotaalpie"/>
        </w:rPr>
        <w:footnoteRef/>
      </w:r>
      <w:r w:rsidRPr="00570C29">
        <w:rPr>
          <w:rStyle w:val="Refdenotaalpie"/>
        </w:rPr>
        <w:t xml:space="preserve"> </w:t>
      </w:r>
      <w:r w:rsidRPr="00291475">
        <w:rPr>
          <w:rFonts w:ascii="Arial" w:hAnsi="Arial" w:cs="Arial"/>
          <w:b/>
          <w:bCs/>
        </w:rPr>
        <w:t>S</w:t>
      </w:r>
      <w:r w:rsidRPr="00291475">
        <w:rPr>
          <w:rFonts w:ascii="Arial" w:hAnsi="Arial" w:cs="Arial"/>
          <w:b/>
          <w:bCs/>
          <w:sz w:val="18"/>
          <w:szCs w:val="18"/>
        </w:rPr>
        <w:t>e realiza el promedio ponderado por plazo de los créditos de consumo de bajo monto</w:t>
      </w:r>
      <w:r w:rsidR="00CE5CBB" w:rsidRPr="00291475">
        <w:rPr>
          <w:rFonts w:ascii="Arial" w:hAnsi="Arial" w:cs="Arial"/>
          <w:b/>
          <w:bCs/>
          <w:sz w:val="18"/>
          <w:szCs w:val="18"/>
        </w:rPr>
        <w:t xml:space="preserve"> remitidos en el formato 414</w:t>
      </w:r>
      <w:r w:rsidR="00291475" w:rsidRPr="00291475">
        <w:rPr>
          <w:rFonts w:ascii="Arial" w:hAnsi="Arial" w:cs="Arial"/>
          <w:b/>
          <w:bCs/>
          <w:sz w:val="18"/>
          <w:szCs w:val="18"/>
        </w:rPr>
        <w:t xml:space="preserve">, mediante el </w:t>
      </w:r>
      <w:r w:rsidR="00291475" w:rsidRPr="00291475">
        <w:rPr>
          <w:rFonts w:ascii="Arial" w:hAnsi="Arial" w:cs="Arial"/>
          <w:b/>
          <w:bCs/>
          <w:sz w:val="18"/>
          <w:szCs w:val="18"/>
        </w:rPr>
        <w:t>Decreto 1459 de 2022, indica el monto o cupo máximo para el crédito de consumo de bajo monto es hasta de ciento seis (106) Unidades de Valor Tributario (UVT)</w:t>
      </w:r>
      <w:r w:rsidR="00291475">
        <w:rPr>
          <w:rFonts w:ascii="Arial" w:hAnsi="Arial" w:cs="Arial"/>
          <w:b/>
          <w:bCs/>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A544" w14:textId="5EBDDF2B" w:rsidR="00900F29" w:rsidRDefault="00291475" w:rsidP="00DC5472">
    <w:pPr>
      <w:pStyle w:val="Encabezado"/>
      <w:tabs>
        <w:tab w:val="clear" w:pos="8838"/>
      </w:tabs>
      <w:ind w:right="-567"/>
    </w:pPr>
    <w:r>
      <w:rPr>
        <w:noProof/>
      </w:rPr>
      <w:drawing>
        <wp:inline distT="0" distB="0" distL="0" distR="0" wp14:anchorId="684DF882" wp14:editId="27010C8A">
          <wp:extent cx="1846353" cy="809625"/>
          <wp:effectExtent l="0" t="0" r="1905" b="0"/>
          <wp:docPr id="292104347"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4347" name="Imagen 2" descr="Imagen que contiene Diagra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856270" cy="813974"/>
                  </a:xfrm>
                  <a:prstGeom prst="rect">
                    <a:avLst/>
                  </a:prstGeom>
                </pic:spPr>
              </pic:pic>
            </a:graphicData>
          </a:graphic>
        </wp:inline>
      </w:drawing>
    </w:r>
    <w:r w:rsidR="00F97B17">
      <w:t xml:space="preserve">                                                                          </w:t>
    </w:r>
  </w:p>
  <w:p w14:paraId="2BD58FBD" w14:textId="23D76665" w:rsidR="00900F29" w:rsidRDefault="00900F29" w:rsidP="00DC5472">
    <w:pPr>
      <w:pStyle w:val="Encabezado"/>
      <w:tabs>
        <w:tab w:val="clear" w:pos="8838"/>
      </w:tabs>
      <w:ind w:right="-567"/>
    </w:pPr>
  </w:p>
  <w:p w14:paraId="4A251394" w14:textId="6D3BA289" w:rsidR="00900F29" w:rsidRDefault="00291475" w:rsidP="00DC5472">
    <w:pPr>
      <w:pStyle w:val="Encabezado"/>
      <w:tabs>
        <w:tab w:val="clear" w:pos="8838"/>
      </w:tabs>
      <w:ind w:right="-567"/>
    </w:pPr>
    <w:r>
      <w:rPr>
        <w:noProof/>
      </w:rPr>
      <mc:AlternateContent>
        <mc:Choice Requires="wps">
          <w:drawing>
            <wp:anchor distT="45720" distB="45720" distL="114300" distR="114300" simplePos="0" relativeHeight="251653120" behindDoc="0" locked="0" layoutInCell="1" allowOverlap="1" wp14:anchorId="77B2A289" wp14:editId="792A7B59">
              <wp:simplePos x="0" y="0"/>
              <wp:positionH relativeFrom="column">
                <wp:posOffset>1043305</wp:posOffset>
              </wp:positionH>
              <wp:positionV relativeFrom="paragraph">
                <wp:posOffset>106680</wp:posOffset>
              </wp:positionV>
              <wp:extent cx="5516245" cy="6762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6245" cy="676275"/>
                      </a:xfrm>
                      <a:prstGeom prst="rect">
                        <a:avLst/>
                      </a:prstGeom>
                      <a:solidFill>
                        <a:srgbClr val="FFFFFF"/>
                      </a:solidFill>
                      <a:ln w="9525">
                        <a:noFill/>
                        <a:miter lim="800000"/>
                        <a:headEnd/>
                        <a:tailEnd/>
                      </a:ln>
                    </wps:spPr>
                    <wps:txbx>
                      <w:txbxContent>
                        <w:p w14:paraId="3307155A" w14:textId="49E5CF81" w:rsidR="001E6921" w:rsidRPr="00291475" w:rsidRDefault="009E55F8" w:rsidP="00291475">
                          <w:pPr>
                            <w:jc w:val="right"/>
                            <w:rPr>
                              <w:rFonts w:ascii="Verdana" w:eastAsia="MS Mincho" w:hAnsi="Verdana"/>
                              <w:b/>
                              <w:bCs/>
                              <w:color w:val="7F7F7F" w:themeColor="text1" w:themeTint="80"/>
                              <w:sz w:val="36"/>
                              <w:szCs w:val="36"/>
                            </w:rPr>
                          </w:pPr>
                          <w:r w:rsidRPr="00291475">
                            <w:rPr>
                              <w:rFonts w:ascii="Verdana" w:eastAsia="MS Mincho" w:hAnsi="Verdana"/>
                              <w:b/>
                              <w:bCs/>
                              <w:color w:val="7F7F7F" w:themeColor="text1" w:themeTint="80"/>
                              <w:sz w:val="36"/>
                              <w:szCs w:val="36"/>
                            </w:rPr>
                            <w:t>Metodología</w:t>
                          </w:r>
                          <w:r w:rsidRPr="00C11D86">
                            <w:rPr>
                              <w:rFonts w:ascii="Arial" w:hAnsi="Arial" w:cs="Arial"/>
                              <w:b/>
                              <w:sz w:val="28"/>
                              <w:lang w:val="es-CO"/>
                            </w:rPr>
                            <w:t xml:space="preserve"> </w:t>
                          </w:r>
                          <w:r w:rsidRPr="00291475">
                            <w:rPr>
                              <w:rFonts w:ascii="Verdana" w:eastAsia="MS Mincho" w:hAnsi="Verdana"/>
                              <w:b/>
                              <w:bCs/>
                              <w:color w:val="7F7F7F" w:themeColor="text1" w:themeTint="80"/>
                              <w:sz w:val="36"/>
                              <w:szCs w:val="36"/>
                            </w:rPr>
                            <w:t>de cálculo de la</w:t>
                          </w:r>
                        </w:p>
                        <w:p w14:paraId="00963A8D" w14:textId="5215F302" w:rsidR="009E55F8" w:rsidRPr="00A109EE" w:rsidRDefault="009E55F8" w:rsidP="00291475">
                          <w:pPr>
                            <w:jc w:val="right"/>
                            <w:rPr>
                              <w:rFonts w:ascii="Arial" w:hAnsi="Arial" w:cs="Arial"/>
                              <w:b/>
                              <w:sz w:val="28"/>
                              <w:lang w:val="es-CO"/>
                            </w:rPr>
                          </w:pPr>
                          <w:r w:rsidRPr="00291475">
                            <w:rPr>
                              <w:rFonts w:ascii="Verdana" w:eastAsia="MS Mincho" w:hAnsi="Verdana"/>
                              <w:b/>
                              <w:bCs/>
                              <w:color w:val="7F7F7F" w:themeColor="text1" w:themeTint="80"/>
                              <w:sz w:val="36"/>
                              <w:szCs w:val="36"/>
                            </w:rPr>
                            <w:t xml:space="preserve">tasa de </w:t>
                          </w:r>
                          <w:r w:rsidR="00E71D87" w:rsidRPr="00291475">
                            <w:rPr>
                              <w:rFonts w:ascii="Verdana" w:eastAsia="MS Mincho" w:hAnsi="Verdana"/>
                              <w:b/>
                              <w:bCs/>
                              <w:color w:val="7F7F7F" w:themeColor="text1" w:themeTint="80"/>
                              <w:sz w:val="36"/>
                              <w:szCs w:val="36"/>
                            </w:rPr>
                            <w:t>i</w:t>
                          </w:r>
                          <w:r w:rsidRPr="00291475">
                            <w:rPr>
                              <w:rFonts w:ascii="Verdana" w:eastAsia="MS Mincho" w:hAnsi="Verdana"/>
                              <w:b/>
                              <w:bCs/>
                              <w:color w:val="7F7F7F" w:themeColor="text1" w:themeTint="80"/>
                              <w:sz w:val="36"/>
                              <w:szCs w:val="36"/>
                            </w:rPr>
                            <w:t xml:space="preserve">nterés </w:t>
                          </w:r>
                          <w:r w:rsidR="00E71D87" w:rsidRPr="00291475">
                            <w:rPr>
                              <w:rFonts w:ascii="Verdana" w:eastAsia="MS Mincho" w:hAnsi="Verdana"/>
                              <w:b/>
                              <w:bCs/>
                              <w:color w:val="7F7F7F" w:themeColor="text1" w:themeTint="80"/>
                              <w:sz w:val="36"/>
                              <w:szCs w:val="36"/>
                            </w:rPr>
                            <w:t>b</w:t>
                          </w:r>
                          <w:r w:rsidRPr="00291475">
                            <w:rPr>
                              <w:rFonts w:ascii="Verdana" w:eastAsia="MS Mincho" w:hAnsi="Verdana"/>
                              <w:b/>
                              <w:bCs/>
                              <w:color w:val="7F7F7F" w:themeColor="text1" w:themeTint="80"/>
                              <w:sz w:val="36"/>
                              <w:szCs w:val="36"/>
                            </w:rPr>
                            <w:t xml:space="preserve">ancario </w:t>
                          </w:r>
                          <w:r w:rsidR="00E71D87" w:rsidRPr="00291475">
                            <w:rPr>
                              <w:rFonts w:ascii="Verdana" w:eastAsia="MS Mincho" w:hAnsi="Verdana"/>
                              <w:b/>
                              <w:bCs/>
                              <w:color w:val="7F7F7F" w:themeColor="text1" w:themeTint="80"/>
                              <w:sz w:val="36"/>
                              <w:szCs w:val="36"/>
                            </w:rPr>
                            <w:t>c</w:t>
                          </w:r>
                          <w:r w:rsidRPr="00291475">
                            <w:rPr>
                              <w:rFonts w:ascii="Verdana" w:eastAsia="MS Mincho" w:hAnsi="Verdana"/>
                              <w:b/>
                              <w:bCs/>
                              <w:color w:val="7F7F7F" w:themeColor="text1" w:themeTint="80"/>
                              <w:sz w:val="36"/>
                              <w:szCs w:val="36"/>
                            </w:rPr>
                            <w:t>orriente</w:t>
                          </w:r>
                        </w:p>
                        <w:p w14:paraId="1E50F191" w14:textId="77777777" w:rsidR="00F97B17" w:rsidRPr="009E55F8" w:rsidRDefault="00F97B17" w:rsidP="00900F29">
                          <w:pPr>
                            <w:jc w:val="right"/>
                            <w:rPr>
                              <w:rFonts w:cs="Calibri"/>
                              <w:b/>
                              <w:sz w:val="32"/>
                              <w:szCs w:val="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B2A289" id="_x0000_t202" coordsize="21600,21600" o:spt="202" path="m,l,21600r21600,l21600,xe">
              <v:stroke joinstyle="miter"/>
              <v:path gradientshapeok="t" o:connecttype="rect"/>
            </v:shapetype>
            <v:shape id="Cuadro de texto 2" o:spid="_x0000_s1026" type="#_x0000_t202" style="position:absolute;margin-left:82.15pt;margin-top:8.4pt;width:434.35pt;height:53.2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" stroked="f">
              <v:textbox>
                <w:txbxContent>
                  <w:p w14:paraId="3307155A" w14:textId="49E5CF81" w:rsidR="001E6921" w:rsidRPr="00291475" w:rsidRDefault="009E55F8" w:rsidP="00291475">
                    <w:pPr>
                      <w:jc w:val="right"/>
                      <w:rPr>
                        <w:rFonts w:ascii="Verdana" w:eastAsia="MS Mincho" w:hAnsi="Verdana"/>
                        <w:b/>
                        <w:bCs/>
                        <w:color w:val="7F7F7F" w:themeColor="text1" w:themeTint="80"/>
                        <w:sz w:val="36"/>
                        <w:szCs w:val="36"/>
                      </w:rPr>
                    </w:pPr>
                    <w:r w:rsidRPr="00291475">
                      <w:rPr>
                        <w:rFonts w:ascii="Verdana" w:eastAsia="MS Mincho" w:hAnsi="Verdana"/>
                        <w:b/>
                        <w:bCs/>
                        <w:color w:val="7F7F7F" w:themeColor="text1" w:themeTint="80"/>
                        <w:sz w:val="36"/>
                        <w:szCs w:val="36"/>
                      </w:rPr>
                      <w:t>Metodología</w:t>
                    </w:r>
                    <w:r w:rsidRPr="00C11D86">
                      <w:rPr>
                        <w:rFonts w:ascii="Arial" w:hAnsi="Arial" w:cs="Arial"/>
                        <w:b/>
                        <w:sz w:val="28"/>
                        <w:lang w:val="es-CO"/>
                      </w:rPr>
                      <w:t xml:space="preserve"> </w:t>
                    </w:r>
                    <w:r w:rsidRPr="00291475">
                      <w:rPr>
                        <w:rFonts w:ascii="Verdana" w:eastAsia="MS Mincho" w:hAnsi="Verdana"/>
                        <w:b/>
                        <w:bCs/>
                        <w:color w:val="7F7F7F" w:themeColor="text1" w:themeTint="80"/>
                        <w:sz w:val="36"/>
                        <w:szCs w:val="36"/>
                      </w:rPr>
                      <w:t>de cálculo de la</w:t>
                    </w:r>
                  </w:p>
                  <w:p w14:paraId="00963A8D" w14:textId="5215F302" w:rsidR="009E55F8" w:rsidRPr="00A109EE" w:rsidRDefault="009E55F8" w:rsidP="00291475">
                    <w:pPr>
                      <w:jc w:val="right"/>
                      <w:rPr>
                        <w:rFonts w:ascii="Arial" w:hAnsi="Arial" w:cs="Arial"/>
                        <w:b/>
                        <w:sz w:val="28"/>
                        <w:lang w:val="es-CO"/>
                      </w:rPr>
                    </w:pPr>
                    <w:r w:rsidRPr="00291475">
                      <w:rPr>
                        <w:rFonts w:ascii="Verdana" w:eastAsia="MS Mincho" w:hAnsi="Verdana"/>
                        <w:b/>
                        <w:bCs/>
                        <w:color w:val="7F7F7F" w:themeColor="text1" w:themeTint="80"/>
                        <w:sz w:val="36"/>
                        <w:szCs w:val="36"/>
                      </w:rPr>
                      <w:t xml:space="preserve">tasa de </w:t>
                    </w:r>
                    <w:r w:rsidR="00E71D87" w:rsidRPr="00291475">
                      <w:rPr>
                        <w:rFonts w:ascii="Verdana" w:eastAsia="MS Mincho" w:hAnsi="Verdana"/>
                        <w:b/>
                        <w:bCs/>
                        <w:color w:val="7F7F7F" w:themeColor="text1" w:themeTint="80"/>
                        <w:sz w:val="36"/>
                        <w:szCs w:val="36"/>
                      </w:rPr>
                      <w:t>i</w:t>
                    </w:r>
                    <w:r w:rsidRPr="00291475">
                      <w:rPr>
                        <w:rFonts w:ascii="Verdana" w:eastAsia="MS Mincho" w:hAnsi="Verdana"/>
                        <w:b/>
                        <w:bCs/>
                        <w:color w:val="7F7F7F" w:themeColor="text1" w:themeTint="80"/>
                        <w:sz w:val="36"/>
                        <w:szCs w:val="36"/>
                      </w:rPr>
                      <w:t xml:space="preserve">nterés </w:t>
                    </w:r>
                    <w:r w:rsidR="00E71D87" w:rsidRPr="00291475">
                      <w:rPr>
                        <w:rFonts w:ascii="Verdana" w:eastAsia="MS Mincho" w:hAnsi="Verdana"/>
                        <w:b/>
                        <w:bCs/>
                        <w:color w:val="7F7F7F" w:themeColor="text1" w:themeTint="80"/>
                        <w:sz w:val="36"/>
                        <w:szCs w:val="36"/>
                      </w:rPr>
                      <w:t>b</w:t>
                    </w:r>
                    <w:r w:rsidRPr="00291475">
                      <w:rPr>
                        <w:rFonts w:ascii="Verdana" w:eastAsia="MS Mincho" w:hAnsi="Verdana"/>
                        <w:b/>
                        <w:bCs/>
                        <w:color w:val="7F7F7F" w:themeColor="text1" w:themeTint="80"/>
                        <w:sz w:val="36"/>
                        <w:szCs w:val="36"/>
                      </w:rPr>
                      <w:t xml:space="preserve">ancario </w:t>
                    </w:r>
                    <w:r w:rsidR="00E71D87" w:rsidRPr="00291475">
                      <w:rPr>
                        <w:rFonts w:ascii="Verdana" w:eastAsia="MS Mincho" w:hAnsi="Verdana"/>
                        <w:b/>
                        <w:bCs/>
                        <w:color w:val="7F7F7F" w:themeColor="text1" w:themeTint="80"/>
                        <w:sz w:val="36"/>
                        <w:szCs w:val="36"/>
                      </w:rPr>
                      <w:t>c</w:t>
                    </w:r>
                    <w:r w:rsidRPr="00291475">
                      <w:rPr>
                        <w:rFonts w:ascii="Verdana" w:eastAsia="MS Mincho" w:hAnsi="Verdana"/>
                        <w:b/>
                        <w:bCs/>
                        <w:color w:val="7F7F7F" w:themeColor="text1" w:themeTint="80"/>
                        <w:sz w:val="36"/>
                        <w:szCs w:val="36"/>
                      </w:rPr>
                      <w:t>orriente</w:t>
                    </w:r>
                  </w:p>
                  <w:p w14:paraId="1E50F191" w14:textId="77777777" w:rsidR="00F97B17" w:rsidRPr="009E55F8" w:rsidRDefault="00F97B17" w:rsidP="00900F29">
                    <w:pPr>
                      <w:jc w:val="right"/>
                      <w:rPr>
                        <w:rFonts w:cs="Calibri"/>
                        <w:b/>
                        <w:sz w:val="32"/>
                        <w:szCs w:val="80"/>
                      </w:rPr>
                    </w:pPr>
                  </w:p>
                </w:txbxContent>
              </v:textbox>
              <w10:wrap type="square"/>
            </v:shape>
          </w:pict>
        </mc:Fallback>
      </mc:AlternateContent>
    </w:r>
  </w:p>
  <w:p w14:paraId="6D9A3B83" w14:textId="4A58CFDD" w:rsidR="00900F29" w:rsidRDefault="00900F29" w:rsidP="00DC5472">
    <w:pPr>
      <w:pStyle w:val="Encabezado"/>
      <w:tabs>
        <w:tab w:val="clear" w:pos="8838"/>
      </w:tabs>
      <w:ind w:right="-567"/>
    </w:pPr>
  </w:p>
  <w:p w14:paraId="3C5FA6D7" w14:textId="2714399C" w:rsidR="00900F29" w:rsidRDefault="00900F29" w:rsidP="00DC5472">
    <w:pPr>
      <w:pStyle w:val="Encabezado"/>
      <w:tabs>
        <w:tab w:val="clear" w:pos="8838"/>
      </w:tabs>
      <w:ind w:right="-567"/>
    </w:pPr>
  </w:p>
  <w:p w14:paraId="342E9274" w14:textId="77777777" w:rsidR="00900F29" w:rsidRDefault="00F97B17" w:rsidP="00DC5472">
    <w:pPr>
      <w:pStyle w:val="Encabezado"/>
      <w:tabs>
        <w:tab w:val="clear" w:pos="8838"/>
      </w:tabs>
      <w:ind w:right="-567"/>
    </w:pPr>
    <w:r>
      <w:t xml:space="preserve">      </w:t>
    </w:r>
  </w:p>
  <w:p w14:paraId="51E59EBC" w14:textId="769D2998" w:rsidR="00F97B17" w:rsidRDefault="00F97B17" w:rsidP="00DC5472">
    <w:pPr>
      <w:pStyle w:val="Encabezado"/>
      <w:tabs>
        <w:tab w:val="clear" w:pos="8838"/>
      </w:tabs>
      <w:ind w:right="-567"/>
    </w:pPr>
  </w:p>
  <w:p w14:paraId="46C075E2" w14:textId="1F967B3F" w:rsidR="00F97B17" w:rsidRPr="0041581A" w:rsidRDefault="000C029A" w:rsidP="0041581A">
    <w:pPr>
      <w:pStyle w:val="Encabezado"/>
      <w:tabs>
        <w:tab w:val="clear" w:pos="8838"/>
      </w:tabs>
      <w:ind w:left="-1134"/>
      <w:jc w:val="both"/>
      <w:rPr>
        <w:rFonts w:ascii="Roboto" w:hAnsi="Roboto"/>
        <w:b/>
        <w:sz w:val="28"/>
      </w:rPr>
    </w:pPr>
    <w:r>
      <w:rPr>
        <w:noProof/>
      </w:rPr>
      <mc:AlternateContent>
        <mc:Choice Requires="wps">
          <w:drawing>
            <wp:anchor distT="4294967295" distB="4294967295" distL="114300" distR="114300" simplePos="0" relativeHeight="251655168" behindDoc="0" locked="0" layoutInCell="1" allowOverlap="1" wp14:anchorId="2B427F69" wp14:editId="32373FF0">
              <wp:simplePos x="0" y="0"/>
              <wp:positionH relativeFrom="column">
                <wp:posOffset>-105410</wp:posOffset>
              </wp:positionH>
              <wp:positionV relativeFrom="paragraph">
                <wp:posOffset>84455</wp:posOffset>
              </wp:positionV>
              <wp:extent cx="6661785" cy="0"/>
              <wp:effectExtent l="0" t="0" r="24765" b="38100"/>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1785" cy="0"/>
                      </a:xfrm>
                      <a:prstGeom prst="line">
                        <a:avLst/>
                      </a:prstGeom>
                      <a:noFill/>
                      <a:ln w="22225" cap="flat" cmpd="sng" algn="ctr">
                        <a:gradFill flip="none" rotWithShape="1">
                          <a:gsLst>
                            <a:gs pos="0">
                              <a:sysClr val="windowText" lastClr="000000">
                                <a:lumMod val="50000"/>
                                <a:lumOff val="50000"/>
                              </a:sysClr>
                            </a:gs>
                            <a:gs pos="74000">
                              <a:srgbClr val="A5A5A5">
                                <a:lumMod val="45000"/>
                                <a:lumOff val="55000"/>
                              </a:srgbClr>
                            </a:gs>
                            <a:gs pos="83000">
                              <a:srgbClr val="A5A5A5">
                                <a:lumMod val="45000"/>
                                <a:lumOff val="55000"/>
                              </a:srgbClr>
                            </a:gs>
                            <a:gs pos="100000">
                              <a:srgbClr val="A5A5A5">
                                <a:lumMod val="30000"/>
                                <a:lumOff val="70000"/>
                              </a:srgbClr>
                            </a:gs>
                          </a:gsLst>
                          <a:lin ang="5400000" scaled="1"/>
                          <a:tileRect/>
                        </a:gra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6565F1" id="Conector recto 6"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3pt,6.65pt" to="516.2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" strokeweight="1.75pt">
              <v:stroke joinstyle="miter"/>
              <o:lock v:ext="edit" shapetype="f"/>
            </v:line>
          </w:pict>
        </mc:Fallback>
      </mc:AlternateContent>
    </w:r>
    <w:r w:rsidR="00F97B17">
      <w:t xml:space="preserve">    </w:t>
    </w:r>
    <w:r w:rsidR="00F97B17">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D5E"/>
    <w:multiLevelType w:val="hybridMultilevel"/>
    <w:tmpl w:val="AFB66536"/>
    <w:lvl w:ilvl="0" w:tplc="440AB900">
      <w:numFmt w:val="bullet"/>
      <w:lvlText w:val=""/>
      <w:lvlJc w:val="left"/>
      <w:pPr>
        <w:ind w:left="1776" w:hanging="360"/>
      </w:pPr>
      <w:rPr>
        <w:rFonts w:ascii="Symbol" w:eastAsia="Calibri" w:hAnsi="Symbo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 w15:restartNumberingAfterBreak="0">
    <w:nsid w:val="074A4ABC"/>
    <w:multiLevelType w:val="hybridMultilevel"/>
    <w:tmpl w:val="ACC6C9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077A7CD4"/>
    <w:multiLevelType w:val="hybridMultilevel"/>
    <w:tmpl w:val="AC6C2300"/>
    <w:lvl w:ilvl="0" w:tplc="63F04438">
      <w:start w:val="1"/>
      <w:numFmt w:val="bullet"/>
      <w:lvlText w:val=""/>
      <w:lvlJc w:val="left"/>
      <w:pPr>
        <w:ind w:left="720" w:hanging="360"/>
      </w:pPr>
      <w:rPr>
        <w:rFonts w:ascii="Symbol" w:hAnsi="Symbol" w:hint="default"/>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A91F30"/>
    <w:multiLevelType w:val="hybridMultilevel"/>
    <w:tmpl w:val="9F061084"/>
    <w:lvl w:ilvl="0" w:tplc="52BA1BE6">
      <w:numFmt w:val="bullet"/>
      <w:lvlText w:val=""/>
      <w:lvlJc w:val="left"/>
      <w:pPr>
        <w:ind w:left="1353" w:hanging="360"/>
      </w:pPr>
      <w:rPr>
        <w:rFonts w:ascii="Symbol" w:eastAsia="Calibri" w:hAnsi="Symbol" w:cs="Aria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4" w15:restartNumberingAfterBreak="0">
    <w:nsid w:val="0CB22AFC"/>
    <w:multiLevelType w:val="hybridMultilevel"/>
    <w:tmpl w:val="6DEED2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626607"/>
    <w:multiLevelType w:val="hybridMultilevel"/>
    <w:tmpl w:val="0C928C80"/>
    <w:lvl w:ilvl="0" w:tplc="1EEE0A8C">
      <w:start w:val="4"/>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2863B0"/>
    <w:multiLevelType w:val="hybridMultilevel"/>
    <w:tmpl w:val="4B4C0C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7E240D"/>
    <w:multiLevelType w:val="hybridMultilevel"/>
    <w:tmpl w:val="6C882F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2877D6"/>
    <w:multiLevelType w:val="hybridMultilevel"/>
    <w:tmpl w:val="488C84D0"/>
    <w:lvl w:ilvl="0" w:tplc="29AAA79A">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BB378A"/>
    <w:multiLevelType w:val="hybridMultilevel"/>
    <w:tmpl w:val="C0725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F163F2"/>
    <w:multiLevelType w:val="hybridMultilevel"/>
    <w:tmpl w:val="31C6E3B2"/>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1" w15:restartNumberingAfterBreak="0">
    <w:nsid w:val="214D4CAE"/>
    <w:multiLevelType w:val="hybridMultilevel"/>
    <w:tmpl w:val="C9E4C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1A56F82"/>
    <w:multiLevelType w:val="hybridMultilevel"/>
    <w:tmpl w:val="10D4FBF6"/>
    <w:lvl w:ilvl="0" w:tplc="A8D2294E">
      <w:numFmt w:val="bullet"/>
      <w:lvlText w:val=""/>
      <w:lvlJc w:val="left"/>
      <w:pPr>
        <w:ind w:left="1776" w:hanging="360"/>
      </w:pPr>
      <w:rPr>
        <w:rFonts w:ascii="Symbol" w:eastAsia="Calibri" w:hAnsi="Symbo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4823E03"/>
    <w:multiLevelType w:val="hybridMultilevel"/>
    <w:tmpl w:val="91BC431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29810324"/>
    <w:multiLevelType w:val="hybridMultilevel"/>
    <w:tmpl w:val="59360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F911D1"/>
    <w:multiLevelType w:val="hybridMultilevel"/>
    <w:tmpl w:val="C8981C3E"/>
    <w:lvl w:ilvl="0" w:tplc="29F05DA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9A2D57"/>
    <w:multiLevelType w:val="hybridMultilevel"/>
    <w:tmpl w:val="53E628D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7" w15:restartNumberingAfterBreak="0">
    <w:nsid w:val="31A70404"/>
    <w:multiLevelType w:val="hybridMultilevel"/>
    <w:tmpl w:val="40E04F26"/>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350662AF"/>
    <w:multiLevelType w:val="hybridMultilevel"/>
    <w:tmpl w:val="6F6AB0B4"/>
    <w:lvl w:ilvl="0" w:tplc="F54E4DF6">
      <w:numFmt w:val="bullet"/>
      <w:lvlText w:val=""/>
      <w:lvlJc w:val="left"/>
      <w:pPr>
        <w:ind w:left="1776" w:hanging="360"/>
      </w:pPr>
      <w:rPr>
        <w:rFonts w:ascii="Symbol" w:eastAsia="Calibri" w:hAnsi="Symbo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5E00F20"/>
    <w:multiLevelType w:val="hybridMultilevel"/>
    <w:tmpl w:val="E0BC434E"/>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20" w15:restartNumberingAfterBreak="0">
    <w:nsid w:val="362202D4"/>
    <w:multiLevelType w:val="hybridMultilevel"/>
    <w:tmpl w:val="51B27E54"/>
    <w:lvl w:ilvl="0" w:tplc="878EEB44">
      <w:numFmt w:val="bullet"/>
      <w:lvlText w:val=""/>
      <w:lvlJc w:val="left"/>
      <w:pPr>
        <w:ind w:left="1776" w:hanging="360"/>
      </w:pPr>
      <w:rPr>
        <w:rFonts w:ascii="Symbol" w:eastAsia="Calibri" w:hAnsi="Symbo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39F64C1E"/>
    <w:multiLevelType w:val="hybridMultilevel"/>
    <w:tmpl w:val="D62ABC06"/>
    <w:lvl w:ilvl="0" w:tplc="29AAA79A">
      <w:numFmt w:val="bullet"/>
      <w:lvlText w:val=""/>
      <w:lvlJc w:val="left"/>
      <w:pPr>
        <w:ind w:left="1713" w:hanging="360"/>
      </w:pPr>
      <w:rPr>
        <w:rFonts w:ascii="Symbol" w:eastAsia="Calibri" w:hAnsi="Symbol" w:cs="Arial" w:hint="default"/>
      </w:rPr>
    </w:lvl>
    <w:lvl w:ilvl="1" w:tplc="240A0003">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22" w15:restartNumberingAfterBreak="0">
    <w:nsid w:val="45AD3CE0"/>
    <w:multiLevelType w:val="hybridMultilevel"/>
    <w:tmpl w:val="5AEA349E"/>
    <w:lvl w:ilvl="0" w:tplc="0A92E512">
      <w:start w:val="1"/>
      <w:numFmt w:val="decimal"/>
      <w:lvlText w:val="%1."/>
      <w:lvlJc w:val="left"/>
      <w:pPr>
        <w:tabs>
          <w:tab w:val="num" w:pos="720"/>
        </w:tabs>
        <w:ind w:left="720" w:hanging="360"/>
      </w:pPr>
      <w:rPr>
        <w:b/>
      </w:rPr>
    </w:lvl>
    <w:lvl w:ilvl="1" w:tplc="AB5A4814" w:tentative="1">
      <w:start w:val="1"/>
      <w:numFmt w:val="decimal"/>
      <w:lvlText w:val="%2."/>
      <w:lvlJc w:val="left"/>
      <w:pPr>
        <w:tabs>
          <w:tab w:val="num" w:pos="1440"/>
        </w:tabs>
        <w:ind w:left="1440" w:hanging="360"/>
      </w:pPr>
    </w:lvl>
    <w:lvl w:ilvl="2" w:tplc="AA3C6DEC" w:tentative="1">
      <w:start w:val="1"/>
      <w:numFmt w:val="decimal"/>
      <w:lvlText w:val="%3."/>
      <w:lvlJc w:val="left"/>
      <w:pPr>
        <w:tabs>
          <w:tab w:val="num" w:pos="2160"/>
        </w:tabs>
        <w:ind w:left="2160" w:hanging="360"/>
      </w:pPr>
    </w:lvl>
    <w:lvl w:ilvl="3" w:tplc="6410354C" w:tentative="1">
      <w:start w:val="1"/>
      <w:numFmt w:val="decimal"/>
      <w:lvlText w:val="%4."/>
      <w:lvlJc w:val="left"/>
      <w:pPr>
        <w:tabs>
          <w:tab w:val="num" w:pos="2880"/>
        </w:tabs>
        <w:ind w:left="2880" w:hanging="360"/>
      </w:pPr>
    </w:lvl>
    <w:lvl w:ilvl="4" w:tplc="09FA2A52" w:tentative="1">
      <w:start w:val="1"/>
      <w:numFmt w:val="decimal"/>
      <w:lvlText w:val="%5."/>
      <w:lvlJc w:val="left"/>
      <w:pPr>
        <w:tabs>
          <w:tab w:val="num" w:pos="3600"/>
        </w:tabs>
        <w:ind w:left="3600" w:hanging="360"/>
      </w:pPr>
    </w:lvl>
    <w:lvl w:ilvl="5" w:tplc="E4368BA0" w:tentative="1">
      <w:start w:val="1"/>
      <w:numFmt w:val="decimal"/>
      <w:lvlText w:val="%6."/>
      <w:lvlJc w:val="left"/>
      <w:pPr>
        <w:tabs>
          <w:tab w:val="num" w:pos="4320"/>
        </w:tabs>
        <w:ind w:left="4320" w:hanging="360"/>
      </w:pPr>
    </w:lvl>
    <w:lvl w:ilvl="6" w:tplc="0064548C" w:tentative="1">
      <w:start w:val="1"/>
      <w:numFmt w:val="decimal"/>
      <w:lvlText w:val="%7."/>
      <w:lvlJc w:val="left"/>
      <w:pPr>
        <w:tabs>
          <w:tab w:val="num" w:pos="5040"/>
        </w:tabs>
        <w:ind w:left="5040" w:hanging="360"/>
      </w:pPr>
    </w:lvl>
    <w:lvl w:ilvl="7" w:tplc="135288EC" w:tentative="1">
      <w:start w:val="1"/>
      <w:numFmt w:val="decimal"/>
      <w:lvlText w:val="%8."/>
      <w:lvlJc w:val="left"/>
      <w:pPr>
        <w:tabs>
          <w:tab w:val="num" w:pos="5760"/>
        </w:tabs>
        <w:ind w:left="5760" w:hanging="360"/>
      </w:pPr>
    </w:lvl>
    <w:lvl w:ilvl="8" w:tplc="3BAA6152" w:tentative="1">
      <w:start w:val="1"/>
      <w:numFmt w:val="decimal"/>
      <w:lvlText w:val="%9."/>
      <w:lvlJc w:val="left"/>
      <w:pPr>
        <w:tabs>
          <w:tab w:val="num" w:pos="6480"/>
        </w:tabs>
        <w:ind w:left="6480" w:hanging="360"/>
      </w:pPr>
    </w:lvl>
  </w:abstractNum>
  <w:abstractNum w:abstractNumId="23" w15:restartNumberingAfterBreak="0">
    <w:nsid w:val="491A32D8"/>
    <w:multiLevelType w:val="multilevel"/>
    <w:tmpl w:val="ACDA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0520E"/>
    <w:multiLevelType w:val="hybridMultilevel"/>
    <w:tmpl w:val="0A34D278"/>
    <w:lvl w:ilvl="0" w:tplc="08F607F4">
      <w:start w:val="189"/>
      <w:numFmt w:val="bullet"/>
      <w:lvlText w:val=""/>
      <w:lvlJc w:val="left"/>
      <w:pPr>
        <w:tabs>
          <w:tab w:val="num" w:pos="5606"/>
        </w:tabs>
        <w:ind w:left="5606" w:hanging="360"/>
      </w:pPr>
      <w:rPr>
        <w:rFonts w:ascii="Symbol" w:hAnsi="Symbol" w:hint="default"/>
        <w:color w:val="800000"/>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tentative="1">
      <w:start w:val="1"/>
      <w:numFmt w:val="bullet"/>
      <w:lvlText w:val=""/>
      <w:lvlJc w:val="left"/>
      <w:pPr>
        <w:tabs>
          <w:tab w:val="num" w:pos="360"/>
        </w:tabs>
        <w:ind w:left="360" w:hanging="360"/>
      </w:pPr>
      <w:rPr>
        <w:rFonts w:ascii="Wingdings" w:hAnsi="Wingdings" w:hint="default"/>
      </w:rPr>
    </w:lvl>
    <w:lvl w:ilvl="3" w:tplc="0C0A0001" w:tentative="1">
      <w:start w:val="1"/>
      <w:numFmt w:val="bullet"/>
      <w:lvlText w:val=""/>
      <w:lvlJc w:val="left"/>
      <w:pPr>
        <w:tabs>
          <w:tab w:val="num" w:pos="1080"/>
        </w:tabs>
        <w:ind w:left="1080" w:hanging="360"/>
      </w:pPr>
      <w:rPr>
        <w:rFonts w:ascii="Symbol" w:hAnsi="Symbol" w:hint="default"/>
      </w:rPr>
    </w:lvl>
    <w:lvl w:ilvl="4" w:tplc="0C0A0003" w:tentative="1">
      <w:start w:val="1"/>
      <w:numFmt w:val="bullet"/>
      <w:lvlText w:val="o"/>
      <w:lvlJc w:val="left"/>
      <w:pPr>
        <w:tabs>
          <w:tab w:val="num" w:pos="1800"/>
        </w:tabs>
        <w:ind w:left="1800" w:hanging="360"/>
      </w:pPr>
      <w:rPr>
        <w:rFonts w:ascii="Courier New" w:hAnsi="Courier New" w:cs="Courier New" w:hint="default"/>
      </w:rPr>
    </w:lvl>
    <w:lvl w:ilvl="5" w:tplc="0C0A0005" w:tentative="1">
      <w:start w:val="1"/>
      <w:numFmt w:val="bullet"/>
      <w:lvlText w:val=""/>
      <w:lvlJc w:val="left"/>
      <w:pPr>
        <w:tabs>
          <w:tab w:val="num" w:pos="2520"/>
        </w:tabs>
        <w:ind w:left="2520" w:hanging="360"/>
      </w:pPr>
      <w:rPr>
        <w:rFonts w:ascii="Wingdings" w:hAnsi="Wingdings" w:hint="default"/>
      </w:rPr>
    </w:lvl>
    <w:lvl w:ilvl="6" w:tplc="0C0A0001" w:tentative="1">
      <w:start w:val="1"/>
      <w:numFmt w:val="bullet"/>
      <w:lvlText w:val=""/>
      <w:lvlJc w:val="left"/>
      <w:pPr>
        <w:tabs>
          <w:tab w:val="num" w:pos="3240"/>
        </w:tabs>
        <w:ind w:left="3240" w:hanging="360"/>
      </w:pPr>
      <w:rPr>
        <w:rFonts w:ascii="Symbol" w:hAnsi="Symbol" w:hint="default"/>
      </w:rPr>
    </w:lvl>
    <w:lvl w:ilvl="7" w:tplc="0C0A0003" w:tentative="1">
      <w:start w:val="1"/>
      <w:numFmt w:val="bullet"/>
      <w:lvlText w:val="o"/>
      <w:lvlJc w:val="left"/>
      <w:pPr>
        <w:tabs>
          <w:tab w:val="num" w:pos="3960"/>
        </w:tabs>
        <w:ind w:left="3960" w:hanging="360"/>
      </w:pPr>
      <w:rPr>
        <w:rFonts w:ascii="Courier New" w:hAnsi="Courier New" w:cs="Courier New" w:hint="default"/>
      </w:rPr>
    </w:lvl>
    <w:lvl w:ilvl="8" w:tplc="0C0A0005" w:tentative="1">
      <w:start w:val="1"/>
      <w:numFmt w:val="bullet"/>
      <w:lvlText w:val=""/>
      <w:lvlJc w:val="left"/>
      <w:pPr>
        <w:tabs>
          <w:tab w:val="num" w:pos="4680"/>
        </w:tabs>
        <w:ind w:left="4680" w:hanging="360"/>
      </w:pPr>
      <w:rPr>
        <w:rFonts w:ascii="Wingdings" w:hAnsi="Wingdings" w:hint="default"/>
      </w:rPr>
    </w:lvl>
  </w:abstractNum>
  <w:abstractNum w:abstractNumId="25" w15:restartNumberingAfterBreak="0">
    <w:nsid w:val="4FA11F3D"/>
    <w:multiLevelType w:val="hybridMultilevel"/>
    <w:tmpl w:val="36EC879E"/>
    <w:lvl w:ilvl="0" w:tplc="206AE446">
      <w:numFmt w:val="bullet"/>
      <w:lvlText w:val="-"/>
      <w:lvlJc w:val="left"/>
      <w:pPr>
        <w:ind w:left="1776" w:hanging="360"/>
      </w:pPr>
      <w:rPr>
        <w:rFonts w:ascii="Arial" w:eastAsia="Calibri" w:hAnsi="Aria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54EB13A8"/>
    <w:multiLevelType w:val="hybridMultilevel"/>
    <w:tmpl w:val="B922E5F6"/>
    <w:lvl w:ilvl="0" w:tplc="EBF0013C">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C3D4911"/>
    <w:multiLevelType w:val="hybridMultilevel"/>
    <w:tmpl w:val="F842C114"/>
    <w:lvl w:ilvl="0" w:tplc="206AE446">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E6478EA"/>
    <w:multiLevelType w:val="hybridMultilevel"/>
    <w:tmpl w:val="D9ECEA4E"/>
    <w:lvl w:ilvl="0" w:tplc="770EF3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E9F46D7"/>
    <w:multiLevelType w:val="hybridMultilevel"/>
    <w:tmpl w:val="6A4C8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317C27"/>
    <w:multiLevelType w:val="hybridMultilevel"/>
    <w:tmpl w:val="C0B69458"/>
    <w:lvl w:ilvl="0" w:tplc="7D64F014">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44F6F9E"/>
    <w:multiLevelType w:val="hybridMultilevel"/>
    <w:tmpl w:val="A7863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53A2D35"/>
    <w:multiLevelType w:val="hybridMultilevel"/>
    <w:tmpl w:val="18D4D6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7267010"/>
    <w:multiLevelType w:val="hybridMultilevel"/>
    <w:tmpl w:val="2A963266"/>
    <w:lvl w:ilvl="0" w:tplc="0CD4A6E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E765A8"/>
    <w:multiLevelType w:val="hybridMultilevel"/>
    <w:tmpl w:val="3D4E45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A673633"/>
    <w:multiLevelType w:val="hybridMultilevel"/>
    <w:tmpl w:val="DF1A91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FFE2D98"/>
    <w:multiLevelType w:val="hybridMultilevel"/>
    <w:tmpl w:val="B8DE9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13C4F8D"/>
    <w:multiLevelType w:val="hybridMultilevel"/>
    <w:tmpl w:val="D368F552"/>
    <w:lvl w:ilvl="0" w:tplc="CE7AAC9E">
      <w:start w:val="1"/>
      <w:numFmt w:val="bullet"/>
      <w:lvlText w:val=""/>
      <w:lvlJc w:val="left"/>
      <w:pPr>
        <w:ind w:left="1635" w:hanging="360"/>
      </w:pPr>
      <w:rPr>
        <w:rFonts w:ascii="Symbol" w:hAnsi="Symbol" w:hint="default"/>
        <w:color w:val="000000"/>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7EB0051A"/>
    <w:multiLevelType w:val="hybridMultilevel"/>
    <w:tmpl w:val="7ED4077E"/>
    <w:lvl w:ilvl="0" w:tplc="CC80EF64">
      <w:numFmt w:val="bullet"/>
      <w:lvlText w:val=""/>
      <w:lvlJc w:val="left"/>
      <w:pPr>
        <w:ind w:left="1776" w:hanging="360"/>
      </w:pPr>
      <w:rPr>
        <w:rFonts w:ascii="Symbol" w:eastAsia="Calibri" w:hAnsi="Symbo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904752148">
    <w:abstractNumId w:val="30"/>
  </w:num>
  <w:num w:numId="2" w16cid:durableId="2098599005">
    <w:abstractNumId w:val="34"/>
  </w:num>
  <w:num w:numId="3" w16cid:durableId="255328636">
    <w:abstractNumId w:val="36"/>
  </w:num>
  <w:num w:numId="4" w16cid:durableId="1040978104">
    <w:abstractNumId w:val="26"/>
  </w:num>
  <w:num w:numId="5" w16cid:durableId="1121150948">
    <w:abstractNumId w:val="26"/>
  </w:num>
  <w:num w:numId="6" w16cid:durableId="1487629424">
    <w:abstractNumId w:val="1"/>
  </w:num>
  <w:num w:numId="7" w16cid:durableId="2049643119">
    <w:abstractNumId w:val="37"/>
  </w:num>
  <w:num w:numId="8" w16cid:durableId="1734041899">
    <w:abstractNumId w:val="2"/>
  </w:num>
  <w:num w:numId="9" w16cid:durableId="794326466">
    <w:abstractNumId w:val="32"/>
  </w:num>
  <w:num w:numId="10" w16cid:durableId="524249269">
    <w:abstractNumId w:val="37"/>
  </w:num>
  <w:num w:numId="11" w16cid:durableId="6640540">
    <w:abstractNumId w:val="33"/>
  </w:num>
  <w:num w:numId="12" w16cid:durableId="1875606651">
    <w:abstractNumId w:val="10"/>
  </w:num>
  <w:num w:numId="13" w16cid:durableId="1058942099">
    <w:abstractNumId w:val="27"/>
  </w:num>
  <w:num w:numId="14" w16cid:durableId="121001552">
    <w:abstractNumId w:val="12"/>
  </w:num>
  <w:num w:numId="15" w16cid:durableId="930239262">
    <w:abstractNumId w:val="23"/>
  </w:num>
  <w:num w:numId="16" w16cid:durableId="440495342">
    <w:abstractNumId w:val="38"/>
  </w:num>
  <w:num w:numId="17" w16cid:durableId="858011708">
    <w:abstractNumId w:val="0"/>
  </w:num>
  <w:num w:numId="18" w16cid:durableId="1730373071">
    <w:abstractNumId w:val="8"/>
  </w:num>
  <w:num w:numId="19" w16cid:durableId="1687362667">
    <w:abstractNumId w:val="15"/>
  </w:num>
  <w:num w:numId="20" w16cid:durableId="1827280771">
    <w:abstractNumId w:val="20"/>
  </w:num>
  <w:num w:numId="21" w16cid:durableId="1726903815">
    <w:abstractNumId w:val="18"/>
  </w:num>
  <w:num w:numId="22" w16cid:durableId="1277100360">
    <w:abstractNumId w:val="5"/>
  </w:num>
  <w:num w:numId="23" w16cid:durableId="271085638">
    <w:abstractNumId w:val="25"/>
  </w:num>
  <w:num w:numId="24" w16cid:durableId="1970016652">
    <w:abstractNumId w:val="4"/>
  </w:num>
  <w:num w:numId="25" w16cid:durableId="1641039483">
    <w:abstractNumId w:val="21"/>
  </w:num>
  <w:num w:numId="26" w16cid:durableId="1855604836">
    <w:abstractNumId w:val="3"/>
  </w:num>
  <w:num w:numId="27" w16cid:durableId="90202838">
    <w:abstractNumId w:val="7"/>
  </w:num>
  <w:num w:numId="28" w16cid:durableId="350380486">
    <w:abstractNumId w:val="9"/>
  </w:num>
  <w:num w:numId="29" w16cid:durableId="1927808062">
    <w:abstractNumId w:val="35"/>
  </w:num>
  <w:num w:numId="30" w16cid:durableId="470370679">
    <w:abstractNumId w:val="19"/>
  </w:num>
  <w:num w:numId="31" w16cid:durableId="61563470">
    <w:abstractNumId w:val="14"/>
  </w:num>
  <w:num w:numId="32" w16cid:durableId="1689286394">
    <w:abstractNumId w:val="11"/>
  </w:num>
  <w:num w:numId="33" w16cid:durableId="2103405181">
    <w:abstractNumId w:val="31"/>
  </w:num>
  <w:num w:numId="34" w16cid:durableId="1200896729">
    <w:abstractNumId w:val="16"/>
  </w:num>
  <w:num w:numId="35" w16cid:durableId="1210070385">
    <w:abstractNumId w:val="6"/>
  </w:num>
  <w:num w:numId="36" w16cid:durableId="1052075827">
    <w:abstractNumId w:val="29"/>
  </w:num>
  <w:num w:numId="37" w16cid:durableId="458109685">
    <w:abstractNumId w:val="6"/>
  </w:num>
  <w:num w:numId="38" w16cid:durableId="1693725538">
    <w:abstractNumId w:val="13"/>
  </w:num>
  <w:num w:numId="39" w16cid:durableId="165225229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3419126">
    <w:abstractNumId w:val="24"/>
  </w:num>
  <w:num w:numId="41" w16cid:durableId="517936243">
    <w:abstractNumId w:val="22"/>
  </w:num>
  <w:num w:numId="42" w16cid:durableId="13878748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A7"/>
    <w:rsid w:val="00002AE5"/>
    <w:rsid w:val="00004AB6"/>
    <w:rsid w:val="00005253"/>
    <w:rsid w:val="00005E0D"/>
    <w:rsid w:val="000166D2"/>
    <w:rsid w:val="00021798"/>
    <w:rsid w:val="000221C9"/>
    <w:rsid w:val="00022A06"/>
    <w:rsid w:val="0002381D"/>
    <w:rsid w:val="00024B00"/>
    <w:rsid w:val="00025638"/>
    <w:rsid w:val="00025EC8"/>
    <w:rsid w:val="00027FD0"/>
    <w:rsid w:val="000315D8"/>
    <w:rsid w:val="00034463"/>
    <w:rsid w:val="00041543"/>
    <w:rsid w:val="000454CD"/>
    <w:rsid w:val="00052321"/>
    <w:rsid w:val="00053273"/>
    <w:rsid w:val="00055175"/>
    <w:rsid w:val="000576D2"/>
    <w:rsid w:val="00060371"/>
    <w:rsid w:val="00061B92"/>
    <w:rsid w:val="000621D6"/>
    <w:rsid w:val="00067853"/>
    <w:rsid w:val="00072656"/>
    <w:rsid w:val="00075E86"/>
    <w:rsid w:val="000813A6"/>
    <w:rsid w:val="00083258"/>
    <w:rsid w:val="00085832"/>
    <w:rsid w:val="000859F9"/>
    <w:rsid w:val="000876F3"/>
    <w:rsid w:val="000919EE"/>
    <w:rsid w:val="0009519E"/>
    <w:rsid w:val="0009710D"/>
    <w:rsid w:val="00097BB7"/>
    <w:rsid w:val="000A0003"/>
    <w:rsid w:val="000A0950"/>
    <w:rsid w:val="000A0DE5"/>
    <w:rsid w:val="000A10EB"/>
    <w:rsid w:val="000A3963"/>
    <w:rsid w:val="000A458A"/>
    <w:rsid w:val="000A4B5F"/>
    <w:rsid w:val="000A7CD6"/>
    <w:rsid w:val="000B10F1"/>
    <w:rsid w:val="000B5DBE"/>
    <w:rsid w:val="000B6A16"/>
    <w:rsid w:val="000B7BBA"/>
    <w:rsid w:val="000C029A"/>
    <w:rsid w:val="000C2030"/>
    <w:rsid w:val="000C2F53"/>
    <w:rsid w:val="000C454D"/>
    <w:rsid w:val="000C4711"/>
    <w:rsid w:val="000C5C4E"/>
    <w:rsid w:val="000C6B72"/>
    <w:rsid w:val="000D5482"/>
    <w:rsid w:val="000D6FCA"/>
    <w:rsid w:val="000D74B7"/>
    <w:rsid w:val="000E0078"/>
    <w:rsid w:val="000E58FE"/>
    <w:rsid w:val="000E6724"/>
    <w:rsid w:val="000F1DA7"/>
    <w:rsid w:val="000F1FCD"/>
    <w:rsid w:val="000F264F"/>
    <w:rsid w:val="000F28FE"/>
    <w:rsid w:val="000F358B"/>
    <w:rsid w:val="000F4C70"/>
    <w:rsid w:val="000F5757"/>
    <w:rsid w:val="000F6175"/>
    <w:rsid w:val="00101CF9"/>
    <w:rsid w:val="00102D19"/>
    <w:rsid w:val="00103CC0"/>
    <w:rsid w:val="00103FAD"/>
    <w:rsid w:val="001045D8"/>
    <w:rsid w:val="0010649B"/>
    <w:rsid w:val="00110F70"/>
    <w:rsid w:val="00113800"/>
    <w:rsid w:val="001164EF"/>
    <w:rsid w:val="001174AE"/>
    <w:rsid w:val="0012098F"/>
    <w:rsid w:val="00121069"/>
    <w:rsid w:val="001220B5"/>
    <w:rsid w:val="00123700"/>
    <w:rsid w:val="00123B83"/>
    <w:rsid w:val="00123EBA"/>
    <w:rsid w:val="001258BD"/>
    <w:rsid w:val="00125B29"/>
    <w:rsid w:val="00125E83"/>
    <w:rsid w:val="00130D37"/>
    <w:rsid w:val="00132983"/>
    <w:rsid w:val="00132A95"/>
    <w:rsid w:val="00134333"/>
    <w:rsid w:val="001345BD"/>
    <w:rsid w:val="001359A7"/>
    <w:rsid w:val="00137208"/>
    <w:rsid w:val="0013746C"/>
    <w:rsid w:val="00141CA1"/>
    <w:rsid w:val="001478D8"/>
    <w:rsid w:val="001526B0"/>
    <w:rsid w:val="0015283A"/>
    <w:rsid w:val="001577A6"/>
    <w:rsid w:val="001600F0"/>
    <w:rsid w:val="00165409"/>
    <w:rsid w:val="00170F23"/>
    <w:rsid w:val="001732D2"/>
    <w:rsid w:val="00174FAE"/>
    <w:rsid w:val="00175B92"/>
    <w:rsid w:val="00180848"/>
    <w:rsid w:val="00184231"/>
    <w:rsid w:val="00185ED3"/>
    <w:rsid w:val="001860F7"/>
    <w:rsid w:val="0018765B"/>
    <w:rsid w:val="00190B23"/>
    <w:rsid w:val="00190EDE"/>
    <w:rsid w:val="00195F6D"/>
    <w:rsid w:val="001966CD"/>
    <w:rsid w:val="00196CA6"/>
    <w:rsid w:val="00196EF0"/>
    <w:rsid w:val="001977C9"/>
    <w:rsid w:val="001A1295"/>
    <w:rsid w:val="001A139A"/>
    <w:rsid w:val="001A22AC"/>
    <w:rsid w:val="001A63E2"/>
    <w:rsid w:val="001B1A19"/>
    <w:rsid w:val="001B25CE"/>
    <w:rsid w:val="001B4E91"/>
    <w:rsid w:val="001B5073"/>
    <w:rsid w:val="001B64A8"/>
    <w:rsid w:val="001B74A4"/>
    <w:rsid w:val="001C1688"/>
    <w:rsid w:val="001C4E02"/>
    <w:rsid w:val="001C4F60"/>
    <w:rsid w:val="001D1682"/>
    <w:rsid w:val="001D1B43"/>
    <w:rsid w:val="001D30F5"/>
    <w:rsid w:val="001D3DE4"/>
    <w:rsid w:val="001D60CF"/>
    <w:rsid w:val="001D7BED"/>
    <w:rsid w:val="001E1057"/>
    <w:rsid w:val="001E2128"/>
    <w:rsid w:val="001E2563"/>
    <w:rsid w:val="001E3AA0"/>
    <w:rsid w:val="001E555D"/>
    <w:rsid w:val="001E5C6A"/>
    <w:rsid w:val="001E6921"/>
    <w:rsid w:val="001F24BC"/>
    <w:rsid w:val="001F4847"/>
    <w:rsid w:val="001F5CFF"/>
    <w:rsid w:val="00205955"/>
    <w:rsid w:val="0020755C"/>
    <w:rsid w:val="002117F6"/>
    <w:rsid w:val="00211960"/>
    <w:rsid w:val="0021278A"/>
    <w:rsid w:val="00213538"/>
    <w:rsid w:val="00214017"/>
    <w:rsid w:val="0021432E"/>
    <w:rsid w:val="00222273"/>
    <w:rsid w:val="002235DD"/>
    <w:rsid w:val="0022440D"/>
    <w:rsid w:val="00227024"/>
    <w:rsid w:val="00231FC5"/>
    <w:rsid w:val="002357C6"/>
    <w:rsid w:val="00237583"/>
    <w:rsid w:val="002376C9"/>
    <w:rsid w:val="00246275"/>
    <w:rsid w:val="00246C95"/>
    <w:rsid w:val="00250760"/>
    <w:rsid w:val="0025154D"/>
    <w:rsid w:val="00252C7A"/>
    <w:rsid w:val="00253082"/>
    <w:rsid w:val="00254DA1"/>
    <w:rsid w:val="0025613D"/>
    <w:rsid w:val="0026257E"/>
    <w:rsid w:val="002670F4"/>
    <w:rsid w:val="0026734A"/>
    <w:rsid w:val="0027551B"/>
    <w:rsid w:val="0027626F"/>
    <w:rsid w:val="00277175"/>
    <w:rsid w:val="00281229"/>
    <w:rsid w:val="0028141A"/>
    <w:rsid w:val="002837EC"/>
    <w:rsid w:val="0028467F"/>
    <w:rsid w:val="0029072E"/>
    <w:rsid w:val="00291475"/>
    <w:rsid w:val="00295212"/>
    <w:rsid w:val="002A427B"/>
    <w:rsid w:val="002A59B7"/>
    <w:rsid w:val="002A5AFD"/>
    <w:rsid w:val="002A6F35"/>
    <w:rsid w:val="002A798F"/>
    <w:rsid w:val="002B294A"/>
    <w:rsid w:val="002B3992"/>
    <w:rsid w:val="002B5D7B"/>
    <w:rsid w:val="002B601C"/>
    <w:rsid w:val="002C0B22"/>
    <w:rsid w:val="002C12DF"/>
    <w:rsid w:val="002C3655"/>
    <w:rsid w:val="002C54ED"/>
    <w:rsid w:val="002C5A53"/>
    <w:rsid w:val="002C6D5F"/>
    <w:rsid w:val="002D1EBB"/>
    <w:rsid w:val="002D58A4"/>
    <w:rsid w:val="002D5A1E"/>
    <w:rsid w:val="002F3CEC"/>
    <w:rsid w:val="00301951"/>
    <w:rsid w:val="00302417"/>
    <w:rsid w:val="00304B27"/>
    <w:rsid w:val="00307836"/>
    <w:rsid w:val="00307ECB"/>
    <w:rsid w:val="0031138E"/>
    <w:rsid w:val="00311C1D"/>
    <w:rsid w:val="00312B94"/>
    <w:rsid w:val="003133D9"/>
    <w:rsid w:val="00314D23"/>
    <w:rsid w:val="00315677"/>
    <w:rsid w:val="00315CF4"/>
    <w:rsid w:val="0032076B"/>
    <w:rsid w:val="003208D9"/>
    <w:rsid w:val="00323D3B"/>
    <w:rsid w:val="00324E58"/>
    <w:rsid w:val="00325A5F"/>
    <w:rsid w:val="00332DDC"/>
    <w:rsid w:val="003330FB"/>
    <w:rsid w:val="00333748"/>
    <w:rsid w:val="00333AC9"/>
    <w:rsid w:val="00333C61"/>
    <w:rsid w:val="003367EE"/>
    <w:rsid w:val="00343683"/>
    <w:rsid w:val="003440DC"/>
    <w:rsid w:val="00345646"/>
    <w:rsid w:val="00346668"/>
    <w:rsid w:val="003505EE"/>
    <w:rsid w:val="003524B8"/>
    <w:rsid w:val="0035268C"/>
    <w:rsid w:val="00354AC6"/>
    <w:rsid w:val="003567BD"/>
    <w:rsid w:val="00356944"/>
    <w:rsid w:val="00357F60"/>
    <w:rsid w:val="00360068"/>
    <w:rsid w:val="0036162A"/>
    <w:rsid w:val="00361D7D"/>
    <w:rsid w:val="003621A8"/>
    <w:rsid w:val="003632C4"/>
    <w:rsid w:val="00364DB3"/>
    <w:rsid w:val="003653DF"/>
    <w:rsid w:val="00367FD7"/>
    <w:rsid w:val="00371BFA"/>
    <w:rsid w:val="0037234A"/>
    <w:rsid w:val="00373770"/>
    <w:rsid w:val="0037549D"/>
    <w:rsid w:val="00377F54"/>
    <w:rsid w:val="0038064D"/>
    <w:rsid w:val="00380CAD"/>
    <w:rsid w:val="003829E6"/>
    <w:rsid w:val="00382DF8"/>
    <w:rsid w:val="00383000"/>
    <w:rsid w:val="00384997"/>
    <w:rsid w:val="0038617B"/>
    <w:rsid w:val="003866EF"/>
    <w:rsid w:val="003878C6"/>
    <w:rsid w:val="00390D1C"/>
    <w:rsid w:val="003916EE"/>
    <w:rsid w:val="00392050"/>
    <w:rsid w:val="003A0E2D"/>
    <w:rsid w:val="003A135C"/>
    <w:rsid w:val="003A192B"/>
    <w:rsid w:val="003A2126"/>
    <w:rsid w:val="003A49D6"/>
    <w:rsid w:val="003A782D"/>
    <w:rsid w:val="003B3A42"/>
    <w:rsid w:val="003B6504"/>
    <w:rsid w:val="003C2635"/>
    <w:rsid w:val="003C2DBD"/>
    <w:rsid w:val="003C5899"/>
    <w:rsid w:val="003C7222"/>
    <w:rsid w:val="003D0318"/>
    <w:rsid w:val="003D134B"/>
    <w:rsid w:val="003D5648"/>
    <w:rsid w:val="003D7DAE"/>
    <w:rsid w:val="003E375A"/>
    <w:rsid w:val="003E3CCF"/>
    <w:rsid w:val="003E4524"/>
    <w:rsid w:val="003E4816"/>
    <w:rsid w:val="003E4D81"/>
    <w:rsid w:val="003E4F50"/>
    <w:rsid w:val="003F0134"/>
    <w:rsid w:val="003F09FA"/>
    <w:rsid w:val="003F5E4A"/>
    <w:rsid w:val="003F5FB5"/>
    <w:rsid w:val="003F6A9E"/>
    <w:rsid w:val="00403C5C"/>
    <w:rsid w:val="00406F08"/>
    <w:rsid w:val="004079E1"/>
    <w:rsid w:val="004114E7"/>
    <w:rsid w:val="00411DC9"/>
    <w:rsid w:val="00411FBE"/>
    <w:rsid w:val="00412402"/>
    <w:rsid w:val="00412FD2"/>
    <w:rsid w:val="00415332"/>
    <w:rsid w:val="0041581A"/>
    <w:rsid w:val="00421672"/>
    <w:rsid w:val="00421D63"/>
    <w:rsid w:val="00422B99"/>
    <w:rsid w:val="004237E2"/>
    <w:rsid w:val="004252B9"/>
    <w:rsid w:val="00426341"/>
    <w:rsid w:val="004463E4"/>
    <w:rsid w:val="00447485"/>
    <w:rsid w:val="00450183"/>
    <w:rsid w:val="004508F5"/>
    <w:rsid w:val="00451249"/>
    <w:rsid w:val="00451E42"/>
    <w:rsid w:val="00454507"/>
    <w:rsid w:val="00454B8B"/>
    <w:rsid w:val="00455D69"/>
    <w:rsid w:val="0045655E"/>
    <w:rsid w:val="00461F72"/>
    <w:rsid w:val="0046260E"/>
    <w:rsid w:val="00463761"/>
    <w:rsid w:val="00464300"/>
    <w:rsid w:val="004646ED"/>
    <w:rsid w:val="004666C3"/>
    <w:rsid w:val="004714EA"/>
    <w:rsid w:val="00472585"/>
    <w:rsid w:val="0047499C"/>
    <w:rsid w:val="00475390"/>
    <w:rsid w:val="0047704A"/>
    <w:rsid w:val="00480E81"/>
    <w:rsid w:val="00487CEF"/>
    <w:rsid w:val="0049241E"/>
    <w:rsid w:val="00492CCD"/>
    <w:rsid w:val="00496A25"/>
    <w:rsid w:val="00497FF3"/>
    <w:rsid w:val="004A03EB"/>
    <w:rsid w:val="004A06CE"/>
    <w:rsid w:val="004A40FA"/>
    <w:rsid w:val="004A42BC"/>
    <w:rsid w:val="004A4B2E"/>
    <w:rsid w:val="004A661A"/>
    <w:rsid w:val="004A6884"/>
    <w:rsid w:val="004B1942"/>
    <w:rsid w:val="004B1E7D"/>
    <w:rsid w:val="004B3ECB"/>
    <w:rsid w:val="004B5226"/>
    <w:rsid w:val="004C0029"/>
    <w:rsid w:val="004C1037"/>
    <w:rsid w:val="004C43F5"/>
    <w:rsid w:val="004C50C4"/>
    <w:rsid w:val="004C780A"/>
    <w:rsid w:val="004D0F52"/>
    <w:rsid w:val="004D1355"/>
    <w:rsid w:val="004D20A3"/>
    <w:rsid w:val="004D779B"/>
    <w:rsid w:val="004D784D"/>
    <w:rsid w:val="004E2319"/>
    <w:rsid w:val="004E5399"/>
    <w:rsid w:val="004E53A7"/>
    <w:rsid w:val="004E6323"/>
    <w:rsid w:val="004E7486"/>
    <w:rsid w:val="004F0CEE"/>
    <w:rsid w:val="004F29D9"/>
    <w:rsid w:val="004F38CB"/>
    <w:rsid w:val="004F5D21"/>
    <w:rsid w:val="004F6ED0"/>
    <w:rsid w:val="004F7480"/>
    <w:rsid w:val="004F7E54"/>
    <w:rsid w:val="00502203"/>
    <w:rsid w:val="005075A1"/>
    <w:rsid w:val="005102A8"/>
    <w:rsid w:val="00514CCB"/>
    <w:rsid w:val="0051673E"/>
    <w:rsid w:val="0052571A"/>
    <w:rsid w:val="0053152C"/>
    <w:rsid w:val="005328C4"/>
    <w:rsid w:val="00533D7C"/>
    <w:rsid w:val="00535522"/>
    <w:rsid w:val="00536003"/>
    <w:rsid w:val="005433D6"/>
    <w:rsid w:val="0054557C"/>
    <w:rsid w:val="00547F79"/>
    <w:rsid w:val="0055106F"/>
    <w:rsid w:val="00551390"/>
    <w:rsid w:val="00551D09"/>
    <w:rsid w:val="00555E10"/>
    <w:rsid w:val="00555FC5"/>
    <w:rsid w:val="00562800"/>
    <w:rsid w:val="0056315D"/>
    <w:rsid w:val="005631A5"/>
    <w:rsid w:val="00563BB5"/>
    <w:rsid w:val="0056525F"/>
    <w:rsid w:val="00570B62"/>
    <w:rsid w:val="00570C29"/>
    <w:rsid w:val="00572947"/>
    <w:rsid w:val="0057424D"/>
    <w:rsid w:val="00574552"/>
    <w:rsid w:val="00575146"/>
    <w:rsid w:val="0057648F"/>
    <w:rsid w:val="00577F14"/>
    <w:rsid w:val="00583C19"/>
    <w:rsid w:val="005848E7"/>
    <w:rsid w:val="0058526B"/>
    <w:rsid w:val="00593665"/>
    <w:rsid w:val="00594C3E"/>
    <w:rsid w:val="005968EE"/>
    <w:rsid w:val="005A1C24"/>
    <w:rsid w:val="005A4D27"/>
    <w:rsid w:val="005B03F1"/>
    <w:rsid w:val="005B47F0"/>
    <w:rsid w:val="005B7994"/>
    <w:rsid w:val="005C509C"/>
    <w:rsid w:val="005C547B"/>
    <w:rsid w:val="005D0B6F"/>
    <w:rsid w:val="005D1455"/>
    <w:rsid w:val="005D1E4C"/>
    <w:rsid w:val="005E0494"/>
    <w:rsid w:val="005E169B"/>
    <w:rsid w:val="005E3B27"/>
    <w:rsid w:val="005E4A48"/>
    <w:rsid w:val="005E7B0B"/>
    <w:rsid w:val="005F1CB9"/>
    <w:rsid w:val="005F4C14"/>
    <w:rsid w:val="005F7CBD"/>
    <w:rsid w:val="00602584"/>
    <w:rsid w:val="00602B9C"/>
    <w:rsid w:val="00603A5B"/>
    <w:rsid w:val="00605930"/>
    <w:rsid w:val="00606227"/>
    <w:rsid w:val="00607790"/>
    <w:rsid w:val="00612225"/>
    <w:rsid w:val="00613020"/>
    <w:rsid w:val="006200B8"/>
    <w:rsid w:val="00623DC8"/>
    <w:rsid w:val="00625A2C"/>
    <w:rsid w:val="00630D02"/>
    <w:rsid w:val="0063221F"/>
    <w:rsid w:val="00633A7A"/>
    <w:rsid w:val="00634E88"/>
    <w:rsid w:val="00635D37"/>
    <w:rsid w:val="00637504"/>
    <w:rsid w:val="00644782"/>
    <w:rsid w:val="0064486D"/>
    <w:rsid w:val="00646ADD"/>
    <w:rsid w:val="00651165"/>
    <w:rsid w:val="006516F2"/>
    <w:rsid w:val="006561E0"/>
    <w:rsid w:val="00657AB7"/>
    <w:rsid w:val="00657D7F"/>
    <w:rsid w:val="00661080"/>
    <w:rsid w:val="0066283F"/>
    <w:rsid w:val="00663F3E"/>
    <w:rsid w:val="00666173"/>
    <w:rsid w:val="006663A1"/>
    <w:rsid w:val="00670E12"/>
    <w:rsid w:val="006721E7"/>
    <w:rsid w:val="0067228E"/>
    <w:rsid w:val="00672466"/>
    <w:rsid w:val="00681CE7"/>
    <w:rsid w:val="00687AF4"/>
    <w:rsid w:val="00687D08"/>
    <w:rsid w:val="00690156"/>
    <w:rsid w:val="00691128"/>
    <w:rsid w:val="0069243D"/>
    <w:rsid w:val="00695858"/>
    <w:rsid w:val="00696259"/>
    <w:rsid w:val="0069670B"/>
    <w:rsid w:val="006A2E8A"/>
    <w:rsid w:val="006A3609"/>
    <w:rsid w:val="006A49CD"/>
    <w:rsid w:val="006A7150"/>
    <w:rsid w:val="006B1B2B"/>
    <w:rsid w:val="006B63C3"/>
    <w:rsid w:val="006B6FBB"/>
    <w:rsid w:val="006B71D5"/>
    <w:rsid w:val="006C0572"/>
    <w:rsid w:val="006C69AC"/>
    <w:rsid w:val="006C6E40"/>
    <w:rsid w:val="006D0A0D"/>
    <w:rsid w:val="006D41BA"/>
    <w:rsid w:val="006D4EE3"/>
    <w:rsid w:val="006E08FD"/>
    <w:rsid w:val="006E287D"/>
    <w:rsid w:val="006E4E3E"/>
    <w:rsid w:val="006E6164"/>
    <w:rsid w:val="006E7F00"/>
    <w:rsid w:val="006F0BAD"/>
    <w:rsid w:val="006F22B2"/>
    <w:rsid w:val="006F6BB1"/>
    <w:rsid w:val="007005D0"/>
    <w:rsid w:val="0070494B"/>
    <w:rsid w:val="00707F69"/>
    <w:rsid w:val="00710E06"/>
    <w:rsid w:val="00711ED5"/>
    <w:rsid w:val="00715CBD"/>
    <w:rsid w:val="007177D0"/>
    <w:rsid w:val="007201AB"/>
    <w:rsid w:val="007208F0"/>
    <w:rsid w:val="00720FB7"/>
    <w:rsid w:val="007247FC"/>
    <w:rsid w:val="007251DC"/>
    <w:rsid w:val="00725939"/>
    <w:rsid w:val="00730C32"/>
    <w:rsid w:val="0073185E"/>
    <w:rsid w:val="00731FD0"/>
    <w:rsid w:val="00732604"/>
    <w:rsid w:val="00746E4D"/>
    <w:rsid w:val="007509D6"/>
    <w:rsid w:val="00753D00"/>
    <w:rsid w:val="007557A1"/>
    <w:rsid w:val="00756117"/>
    <w:rsid w:val="0075792F"/>
    <w:rsid w:val="00757E8B"/>
    <w:rsid w:val="00757FE5"/>
    <w:rsid w:val="007601AF"/>
    <w:rsid w:val="00762DCE"/>
    <w:rsid w:val="00763B88"/>
    <w:rsid w:val="00766C2B"/>
    <w:rsid w:val="00767C9E"/>
    <w:rsid w:val="007778FB"/>
    <w:rsid w:val="00777948"/>
    <w:rsid w:val="00781460"/>
    <w:rsid w:val="007819BF"/>
    <w:rsid w:val="007854A7"/>
    <w:rsid w:val="00785662"/>
    <w:rsid w:val="00785924"/>
    <w:rsid w:val="00785B97"/>
    <w:rsid w:val="00787896"/>
    <w:rsid w:val="00790003"/>
    <w:rsid w:val="0079329D"/>
    <w:rsid w:val="007966B1"/>
    <w:rsid w:val="007976F2"/>
    <w:rsid w:val="007B03EC"/>
    <w:rsid w:val="007B7EF7"/>
    <w:rsid w:val="007C10B5"/>
    <w:rsid w:val="007C36CB"/>
    <w:rsid w:val="007C7B93"/>
    <w:rsid w:val="007D070A"/>
    <w:rsid w:val="007D11CB"/>
    <w:rsid w:val="007D5E90"/>
    <w:rsid w:val="007E708B"/>
    <w:rsid w:val="007F16AB"/>
    <w:rsid w:val="007F2162"/>
    <w:rsid w:val="007F26F2"/>
    <w:rsid w:val="007F7F9B"/>
    <w:rsid w:val="008040D2"/>
    <w:rsid w:val="008049D1"/>
    <w:rsid w:val="0080591F"/>
    <w:rsid w:val="00810837"/>
    <w:rsid w:val="008127EA"/>
    <w:rsid w:val="0081378C"/>
    <w:rsid w:val="00814CF6"/>
    <w:rsid w:val="00815B47"/>
    <w:rsid w:val="00817CBA"/>
    <w:rsid w:val="00820D6E"/>
    <w:rsid w:val="00821030"/>
    <w:rsid w:val="00821F63"/>
    <w:rsid w:val="00823B42"/>
    <w:rsid w:val="008251AC"/>
    <w:rsid w:val="00827798"/>
    <w:rsid w:val="00831663"/>
    <w:rsid w:val="00832654"/>
    <w:rsid w:val="00836E06"/>
    <w:rsid w:val="00836E75"/>
    <w:rsid w:val="0083709D"/>
    <w:rsid w:val="0083717D"/>
    <w:rsid w:val="00841041"/>
    <w:rsid w:val="00841F33"/>
    <w:rsid w:val="008468AB"/>
    <w:rsid w:val="00846A62"/>
    <w:rsid w:val="008505B9"/>
    <w:rsid w:val="00854249"/>
    <w:rsid w:val="00854A6C"/>
    <w:rsid w:val="008550BD"/>
    <w:rsid w:val="0085625E"/>
    <w:rsid w:val="00856881"/>
    <w:rsid w:val="00857339"/>
    <w:rsid w:val="00863A7E"/>
    <w:rsid w:val="008640EA"/>
    <w:rsid w:val="00865917"/>
    <w:rsid w:val="008707BA"/>
    <w:rsid w:val="0087125C"/>
    <w:rsid w:val="0087162E"/>
    <w:rsid w:val="008722F1"/>
    <w:rsid w:val="0087347D"/>
    <w:rsid w:val="008739E0"/>
    <w:rsid w:val="008763EB"/>
    <w:rsid w:val="00876B9F"/>
    <w:rsid w:val="0088039F"/>
    <w:rsid w:val="0088309C"/>
    <w:rsid w:val="0088356F"/>
    <w:rsid w:val="00884B37"/>
    <w:rsid w:val="00885016"/>
    <w:rsid w:val="0088561A"/>
    <w:rsid w:val="00887D26"/>
    <w:rsid w:val="008905BB"/>
    <w:rsid w:val="0089063B"/>
    <w:rsid w:val="00890993"/>
    <w:rsid w:val="00890F46"/>
    <w:rsid w:val="00891C85"/>
    <w:rsid w:val="008949C1"/>
    <w:rsid w:val="008961F8"/>
    <w:rsid w:val="00896C43"/>
    <w:rsid w:val="008A32D6"/>
    <w:rsid w:val="008A37EB"/>
    <w:rsid w:val="008B0104"/>
    <w:rsid w:val="008B1B30"/>
    <w:rsid w:val="008B4A8F"/>
    <w:rsid w:val="008B635A"/>
    <w:rsid w:val="008C0B26"/>
    <w:rsid w:val="008C2CD2"/>
    <w:rsid w:val="008C4719"/>
    <w:rsid w:val="008D6728"/>
    <w:rsid w:val="008D67E8"/>
    <w:rsid w:val="008D718C"/>
    <w:rsid w:val="008E536D"/>
    <w:rsid w:val="008F0A6A"/>
    <w:rsid w:val="008F4D4A"/>
    <w:rsid w:val="008F7DDA"/>
    <w:rsid w:val="00900F29"/>
    <w:rsid w:val="00901CB0"/>
    <w:rsid w:val="009028D3"/>
    <w:rsid w:val="0090428F"/>
    <w:rsid w:val="00905B47"/>
    <w:rsid w:val="009079D5"/>
    <w:rsid w:val="0091044A"/>
    <w:rsid w:val="00910565"/>
    <w:rsid w:val="00910F11"/>
    <w:rsid w:val="00911300"/>
    <w:rsid w:val="009125CD"/>
    <w:rsid w:val="00912D22"/>
    <w:rsid w:val="00922A85"/>
    <w:rsid w:val="00932EF2"/>
    <w:rsid w:val="00934CD0"/>
    <w:rsid w:val="00935625"/>
    <w:rsid w:val="009406D2"/>
    <w:rsid w:val="00943823"/>
    <w:rsid w:val="00944644"/>
    <w:rsid w:val="00945F15"/>
    <w:rsid w:val="00947E34"/>
    <w:rsid w:val="00962353"/>
    <w:rsid w:val="00965E09"/>
    <w:rsid w:val="00967053"/>
    <w:rsid w:val="00970131"/>
    <w:rsid w:val="0097264A"/>
    <w:rsid w:val="00973243"/>
    <w:rsid w:val="00975469"/>
    <w:rsid w:val="00975511"/>
    <w:rsid w:val="0098055D"/>
    <w:rsid w:val="0098270F"/>
    <w:rsid w:val="0098370B"/>
    <w:rsid w:val="0098561F"/>
    <w:rsid w:val="0099263D"/>
    <w:rsid w:val="0099340E"/>
    <w:rsid w:val="00993632"/>
    <w:rsid w:val="00994A71"/>
    <w:rsid w:val="00995A7B"/>
    <w:rsid w:val="009967F1"/>
    <w:rsid w:val="00997E51"/>
    <w:rsid w:val="009A0533"/>
    <w:rsid w:val="009A07F3"/>
    <w:rsid w:val="009A1446"/>
    <w:rsid w:val="009A1B81"/>
    <w:rsid w:val="009A2500"/>
    <w:rsid w:val="009A2AC7"/>
    <w:rsid w:val="009A3137"/>
    <w:rsid w:val="009A387B"/>
    <w:rsid w:val="009A5EE7"/>
    <w:rsid w:val="009A6F06"/>
    <w:rsid w:val="009A7A7E"/>
    <w:rsid w:val="009A7AB7"/>
    <w:rsid w:val="009B00A9"/>
    <w:rsid w:val="009B2BAE"/>
    <w:rsid w:val="009B4C1D"/>
    <w:rsid w:val="009B5282"/>
    <w:rsid w:val="009B5965"/>
    <w:rsid w:val="009B6BBB"/>
    <w:rsid w:val="009C0E14"/>
    <w:rsid w:val="009C2A2E"/>
    <w:rsid w:val="009C2FA8"/>
    <w:rsid w:val="009C3F92"/>
    <w:rsid w:val="009C56D9"/>
    <w:rsid w:val="009C76F5"/>
    <w:rsid w:val="009D4A6E"/>
    <w:rsid w:val="009E1444"/>
    <w:rsid w:val="009E16AE"/>
    <w:rsid w:val="009E55F8"/>
    <w:rsid w:val="009E63D8"/>
    <w:rsid w:val="009E7392"/>
    <w:rsid w:val="009F3808"/>
    <w:rsid w:val="00A001AC"/>
    <w:rsid w:val="00A01462"/>
    <w:rsid w:val="00A02E84"/>
    <w:rsid w:val="00A03ED5"/>
    <w:rsid w:val="00A0486E"/>
    <w:rsid w:val="00A11197"/>
    <w:rsid w:val="00A122D7"/>
    <w:rsid w:val="00A124D1"/>
    <w:rsid w:val="00A159E3"/>
    <w:rsid w:val="00A15D96"/>
    <w:rsid w:val="00A2062B"/>
    <w:rsid w:val="00A21E68"/>
    <w:rsid w:val="00A2283E"/>
    <w:rsid w:val="00A23159"/>
    <w:rsid w:val="00A23CB5"/>
    <w:rsid w:val="00A24144"/>
    <w:rsid w:val="00A24395"/>
    <w:rsid w:val="00A2661E"/>
    <w:rsid w:val="00A31BA3"/>
    <w:rsid w:val="00A35AFF"/>
    <w:rsid w:val="00A36364"/>
    <w:rsid w:val="00A36903"/>
    <w:rsid w:val="00A40FC6"/>
    <w:rsid w:val="00A41738"/>
    <w:rsid w:val="00A42108"/>
    <w:rsid w:val="00A5286B"/>
    <w:rsid w:val="00A52F40"/>
    <w:rsid w:val="00A543A5"/>
    <w:rsid w:val="00A54F48"/>
    <w:rsid w:val="00A607AE"/>
    <w:rsid w:val="00A629C2"/>
    <w:rsid w:val="00A64A5F"/>
    <w:rsid w:val="00A66231"/>
    <w:rsid w:val="00A713C4"/>
    <w:rsid w:val="00A71BAB"/>
    <w:rsid w:val="00A81AFC"/>
    <w:rsid w:val="00A82050"/>
    <w:rsid w:val="00A8220A"/>
    <w:rsid w:val="00A84EDC"/>
    <w:rsid w:val="00A85EB0"/>
    <w:rsid w:val="00A86B6D"/>
    <w:rsid w:val="00A91855"/>
    <w:rsid w:val="00A91F12"/>
    <w:rsid w:val="00A9538B"/>
    <w:rsid w:val="00A958AB"/>
    <w:rsid w:val="00A964BB"/>
    <w:rsid w:val="00AA01E2"/>
    <w:rsid w:val="00AA46EA"/>
    <w:rsid w:val="00AA572D"/>
    <w:rsid w:val="00AA7F18"/>
    <w:rsid w:val="00AB3543"/>
    <w:rsid w:val="00AB5374"/>
    <w:rsid w:val="00AB5B13"/>
    <w:rsid w:val="00AB6244"/>
    <w:rsid w:val="00AC182B"/>
    <w:rsid w:val="00AC34D7"/>
    <w:rsid w:val="00AC77AB"/>
    <w:rsid w:val="00AC7F73"/>
    <w:rsid w:val="00AD36DC"/>
    <w:rsid w:val="00AD5608"/>
    <w:rsid w:val="00AE0EFE"/>
    <w:rsid w:val="00AE1D5C"/>
    <w:rsid w:val="00AE41DC"/>
    <w:rsid w:val="00AE622B"/>
    <w:rsid w:val="00AF0565"/>
    <w:rsid w:val="00AF09CA"/>
    <w:rsid w:val="00AF1734"/>
    <w:rsid w:val="00AF70A7"/>
    <w:rsid w:val="00AF788F"/>
    <w:rsid w:val="00AF7C45"/>
    <w:rsid w:val="00B01646"/>
    <w:rsid w:val="00B01E22"/>
    <w:rsid w:val="00B03581"/>
    <w:rsid w:val="00B03DDB"/>
    <w:rsid w:val="00B052D9"/>
    <w:rsid w:val="00B0688F"/>
    <w:rsid w:val="00B070FB"/>
    <w:rsid w:val="00B12931"/>
    <w:rsid w:val="00B12F71"/>
    <w:rsid w:val="00B2028F"/>
    <w:rsid w:val="00B226A7"/>
    <w:rsid w:val="00B25B0A"/>
    <w:rsid w:val="00B26139"/>
    <w:rsid w:val="00B27109"/>
    <w:rsid w:val="00B27D18"/>
    <w:rsid w:val="00B3029B"/>
    <w:rsid w:val="00B32E30"/>
    <w:rsid w:val="00B340F4"/>
    <w:rsid w:val="00B40197"/>
    <w:rsid w:val="00B44D52"/>
    <w:rsid w:val="00B45462"/>
    <w:rsid w:val="00B46524"/>
    <w:rsid w:val="00B46FE4"/>
    <w:rsid w:val="00B5055F"/>
    <w:rsid w:val="00B510BC"/>
    <w:rsid w:val="00B55852"/>
    <w:rsid w:val="00B55D8D"/>
    <w:rsid w:val="00B563C7"/>
    <w:rsid w:val="00B6178E"/>
    <w:rsid w:val="00B67D2D"/>
    <w:rsid w:val="00B70945"/>
    <w:rsid w:val="00B72C4A"/>
    <w:rsid w:val="00B77EBA"/>
    <w:rsid w:val="00B9067F"/>
    <w:rsid w:val="00B95FE8"/>
    <w:rsid w:val="00B96308"/>
    <w:rsid w:val="00B97C3C"/>
    <w:rsid w:val="00BA0056"/>
    <w:rsid w:val="00BA26B1"/>
    <w:rsid w:val="00BA5113"/>
    <w:rsid w:val="00BB14EB"/>
    <w:rsid w:val="00BB23D7"/>
    <w:rsid w:val="00BC2D11"/>
    <w:rsid w:val="00BC3149"/>
    <w:rsid w:val="00BC7DD3"/>
    <w:rsid w:val="00BD0CA3"/>
    <w:rsid w:val="00BD3F25"/>
    <w:rsid w:val="00BD5D6B"/>
    <w:rsid w:val="00BD65C5"/>
    <w:rsid w:val="00BD6A1B"/>
    <w:rsid w:val="00BD7871"/>
    <w:rsid w:val="00BE30E1"/>
    <w:rsid w:val="00BE43E9"/>
    <w:rsid w:val="00BE6139"/>
    <w:rsid w:val="00BE6C7E"/>
    <w:rsid w:val="00BF034B"/>
    <w:rsid w:val="00BF2137"/>
    <w:rsid w:val="00BF3526"/>
    <w:rsid w:val="00BF49C3"/>
    <w:rsid w:val="00C02DBE"/>
    <w:rsid w:val="00C03956"/>
    <w:rsid w:val="00C056B5"/>
    <w:rsid w:val="00C0602F"/>
    <w:rsid w:val="00C11A29"/>
    <w:rsid w:val="00C15D31"/>
    <w:rsid w:val="00C16465"/>
    <w:rsid w:val="00C20442"/>
    <w:rsid w:val="00C20529"/>
    <w:rsid w:val="00C21526"/>
    <w:rsid w:val="00C26075"/>
    <w:rsid w:val="00C30E6C"/>
    <w:rsid w:val="00C35646"/>
    <w:rsid w:val="00C36BCA"/>
    <w:rsid w:val="00C37ED3"/>
    <w:rsid w:val="00C40464"/>
    <w:rsid w:val="00C44C3B"/>
    <w:rsid w:val="00C5091F"/>
    <w:rsid w:val="00C53F14"/>
    <w:rsid w:val="00C57ED7"/>
    <w:rsid w:val="00C62E72"/>
    <w:rsid w:val="00C634A6"/>
    <w:rsid w:val="00C67A69"/>
    <w:rsid w:val="00C73548"/>
    <w:rsid w:val="00C77A8C"/>
    <w:rsid w:val="00C81CE9"/>
    <w:rsid w:val="00C8457E"/>
    <w:rsid w:val="00C87A03"/>
    <w:rsid w:val="00C909A1"/>
    <w:rsid w:val="00C911FA"/>
    <w:rsid w:val="00C92485"/>
    <w:rsid w:val="00C924EC"/>
    <w:rsid w:val="00C92809"/>
    <w:rsid w:val="00C94983"/>
    <w:rsid w:val="00C96225"/>
    <w:rsid w:val="00C96A36"/>
    <w:rsid w:val="00CA4B62"/>
    <w:rsid w:val="00CA6723"/>
    <w:rsid w:val="00CA7231"/>
    <w:rsid w:val="00CB2FBC"/>
    <w:rsid w:val="00CB370D"/>
    <w:rsid w:val="00CB453B"/>
    <w:rsid w:val="00CB4B75"/>
    <w:rsid w:val="00CC46DA"/>
    <w:rsid w:val="00CC6288"/>
    <w:rsid w:val="00CD08D0"/>
    <w:rsid w:val="00CD12E7"/>
    <w:rsid w:val="00CD1DFA"/>
    <w:rsid w:val="00CD4DFE"/>
    <w:rsid w:val="00CE488C"/>
    <w:rsid w:val="00CE58A0"/>
    <w:rsid w:val="00CE5CBB"/>
    <w:rsid w:val="00CE6BAA"/>
    <w:rsid w:val="00CE7F07"/>
    <w:rsid w:val="00CF22E2"/>
    <w:rsid w:val="00CF2B23"/>
    <w:rsid w:val="00CF4646"/>
    <w:rsid w:val="00CF5301"/>
    <w:rsid w:val="00CF7324"/>
    <w:rsid w:val="00D01EFD"/>
    <w:rsid w:val="00D02125"/>
    <w:rsid w:val="00D03F26"/>
    <w:rsid w:val="00D048F0"/>
    <w:rsid w:val="00D04D03"/>
    <w:rsid w:val="00D07D29"/>
    <w:rsid w:val="00D13766"/>
    <w:rsid w:val="00D13D36"/>
    <w:rsid w:val="00D16C5E"/>
    <w:rsid w:val="00D20409"/>
    <w:rsid w:val="00D21016"/>
    <w:rsid w:val="00D24B76"/>
    <w:rsid w:val="00D25E34"/>
    <w:rsid w:val="00D27C3E"/>
    <w:rsid w:val="00D35166"/>
    <w:rsid w:val="00D43BAE"/>
    <w:rsid w:val="00D447E9"/>
    <w:rsid w:val="00D45D07"/>
    <w:rsid w:val="00D45ED4"/>
    <w:rsid w:val="00D47CFA"/>
    <w:rsid w:val="00D507E0"/>
    <w:rsid w:val="00D513B3"/>
    <w:rsid w:val="00D53355"/>
    <w:rsid w:val="00D64B8E"/>
    <w:rsid w:val="00D66479"/>
    <w:rsid w:val="00D706E8"/>
    <w:rsid w:val="00D71536"/>
    <w:rsid w:val="00D74770"/>
    <w:rsid w:val="00D75158"/>
    <w:rsid w:val="00D805C3"/>
    <w:rsid w:val="00D847EB"/>
    <w:rsid w:val="00D91F68"/>
    <w:rsid w:val="00D93E8D"/>
    <w:rsid w:val="00D94EFB"/>
    <w:rsid w:val="00D95399"/>
    <w:rsid w:val="00D97360"/>
    <w:rsid w:val="00DA0B32"/>
    <w:rsid w:val="00DA62B1"/>
    <w:rsid w:val="00DB64A6"/>
    <w:rsid w:val="00DC03B1"/>
    <w:rsid w:val="00DC0E5B"/>
    <w:rsid w:val="00DC3D54"/>
    <w:rsid w:val="00DC3DA6"/>
    <w:rsid w:val="00DC41B0"/>
    <w:rsid w:val="00DC5472"/>
    <w:rsid w:val="00DC5946"/>
    <w:rsid w:val="00DC74A8"/>
    <w:rsid w:val="00DC7591"/>
    <w:rsid w:val="00DD049F"/>
    <w:rsid w:val="00DD06FA"/>
    <w:rsid w:val="00DD2B3B"/>
    <w:rsid w:val="00DD7929"/>
    <w:rsid w:val="00DE02F5"/>
    <w:rsid w:val="00DE165D"/>
    <w:rsid w:val="00DE1B7A"/>
    <w:rsid w:val="00DE526B"/>
    <w:rsid w:val="00DE6A3C"/>
    <w:rsid w:val="00DE6CC4"/>
    <w:rsid w:val="00DF1C88"/>
    <w:rsid w:val="00DF226E"/>
    <w:rsid w:val="00E007B6"/>
    <w:rsid w:val="00E021DF"/>
    <w:rsid w:val="00E03836"/>
    <w:rsid w:val="00E07859"/>
    <w:rsid w:val="00E12E36"/>
    <w:rsid w:val="00E13911"/>
    <w:rsid w:val="00E20B23"/>
    <w:rsid w:val="00E24B8B"/>
    <w:rsid w:val="00E25E5E"/>
    <w:rsid w:val="00E26662"/>
    <w:rsid w:val="00E26E18"/>
    <w:rsid w:val="00E3388F"/>
    <w:rsid w:val="00E3391D"/>
    <w:rsid w:val="00E3476F"/>
    <w:rsid w:val="00E348E8"/>
    <w:rsid w:val="00E363F8"/>
    <w:rsid w:val="00E36607"/>
    <w:rsid w:val="00E369E8"/>
    <w:rsid w:val="00E3760A"/>
    <w:rsid w:val="00E40080"/>
    <w:rsid w:val="00E50AA6"/>
    <w:rsid w:val="00E51111"/>
    <w:rsid w:val="00E51FB7"/>
    <w:rsid w:val="00E56FA4"/>
    <w:rsid w:val="00E62FE7"/>
    <w:rsid w:val="00E675C3"/>
    <w:rsid w:val="00E71D87"/>
    <w:rsid w:val="00E74966"/>
    <w:rsid w:val="00E75151"/>
    <w:rsid w:val="00E75ACE"/>
    <w:rsid w:val="00E81EA9"/>
    <w:rsid w:val="00E823C2"/>
    <w:rsid w:val="00E839AC"/>
    <w:rsid w:val="00E84EA2"/>
    <w:rsid w:val="00E85D64"/>
    <w:rsid w:val="00E86111"/>
    <w:rsid w:val="00E90D46"/>
    <w:rsid w:val="00E926F5"/>
    <w:rsid w:val="00EB16CC"/>
    <w:rsid w:val="00EB2435"/>
    <w:rsid w:val="00EB4F52"/>
    <w:rsid w:val="00EB5ACF"/>
    <w:rsid w:val="00EB6DA8"/>
    <w:rsid w:val="00EC7259"/>
    <w:rsid w:val="00EC7FC2"/>
    <w:rsid w:val="00ED064C"/>
    <w:rsid w:val="00ED324F"/>
    <w:rsid w:val="00EE311D"/>
    <w:rsid w:val="00EE4079"/>
    <w:rsid w:val="00EE4321"/>
    <w:rsid w:val="00EF1064"/>
    <w:rsid w:val="00EF1A62"/>
    <w:rsid w:val="00EF3AF0"/>
    <w:rsid w:val="00EF4587"/>
    <w:rsid w:val="00EF581F"/>
    <w:rsid w:val="00EF6484"/>
    <w:rsid w:val="00EF716C"/>
    <w:rsid w:val="00EF7CFA"/>
    <w:rsid w:val="00F020EC"/>
    <w:rsid w:val="00F0340E"/>
    <w:rsid w:val="00F060E6"/>
    <w:rsid w:val="00F07C62"/>
    <w:rsid w:val="00F11435"/>
    <w:rsid w:val="00F13B55"/>
    <w:rsid w:val="00F13B68"/>
    <w:rsid w:val="00F16AF9"/>
    <w:rsid w:val="00F1771D"/>
    <w:rsid w:val="00F22A88"/>
    <w:rsid w:val="00F23E5A"/>
    <w:rsid w:val="00F24E48"/>
    <w:rsid w:val="00F300C6"/>
    <w:rsid w:val="00F31FC1"/>
    <w:rsid w:val="00F32390"/>
    <w:rsid w:val="00F3729E"/>
    <w:rsid w:val="00F40864"/>
    <w:rsid w:val="00F418BB"/>
    <w:rsid w:val="00F453C1"/>
    <w:rsid w:val="00F45DFE"/>
    <w:rsid w:val="00F46FD8"/>
    <w:rsid w:val="00F512B5"/>
    <w:rsid w:val="00F54421"/>
    <w:rsid w:val="00F550AE"/>
    <w:rsid w:val="00F60097"/>
    <w:rsid w:val="00F670CF"/>
    <w:rsid w:val="00F67ECB"/>
    <w:rsid w:val="00F74C0F"/>
    <w:rsid w:val="00F75A66"/>
    <w:rsid w:val="00F7711B"/>
    <w:rsid w:val="00F775B4"/>
    <w:rsid w:val="00F81F36"/>
    <w:rsid w:val="00F91205"/>
    <w:rsid w:val="00F95557"/>
    <w:rsid w:val="00F95636"/>
    <w:rsid w:val="00F97B17"/>
    <w:rsid w:val="00FA3181"/>
    <w:rsid w:val="00FA3DFD"/>
    <w:rsid w:val="00FA52DD"/>
    <w:rsid w:val="00FB1916"/>
    <w:rsid w:val="00FB233F"/>
    <w:rsid w:val="00FB6C79"/>
    <w:rsid w:val="00FB7346"/>
    <w:rsid w:val="00FC0BE8"/>
    <w:rsid w:val="00FC34F6"/>
    <w:rsid w:val="00FC3F56"/>
    <w:rsid w:val="00FC574A"/>
    <w:rsid w:val="00FC5B2B"/>
    <w:rsid w:val="00FC60D3"/>
    <w:rsid w:val="00FC7247"/>
    <w:rsid w:val="00FD0314"/>
    <w:rsid w:val="00FD5374"/>
    <w:rsid w:val="00FE0219"/>
    <w:rsid w:val="00FE2278"/>
    <w:rsid w:val="00FE34A8"/>
    <w:rsid w:val="00FE3BBD"/>
    <w:rsid w:val="00FE405A"/>
    <w:rsid w:val="00FE4F83"/>
    <w:rsid w:val="00FF1542"/>
    <w:rsid w:val="00FF4EDD"/>
    <w:rsid w:val="00FF62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526AB"/>
  <w15:chartTrackingRefBased/>
  <w15:docId w15:val="{8F381C7D-96C4-49E3-8F10-E8220925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5F8"/>
    <w:rPr>
      <w:rFonts w:ascii="Times New Roman" w:eastAsia="Times New Roman" w:hAnsi="Times New Roman"/>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53A7"/>
    <w:pPr>
      <w:tabs>
        <w:tab w:val="center" w:pos="4419"/>
        <w:tab w:val="right" w:pos="8838"/>
      </w:tabs>
    </w:pPr>
  </w:style>
  <w:style w:type="character" w:customStyle="1" w:styleId="EncabezadoCar">
    <w:name w:val="Encabezado Car"/>
    <w:basedOn w:val="Fuentedeprrafopredeter"/>
    <w:link w:val="Encabezado"/>
    <w:uiPriority w:val="99"/>
    <w:rsid w:val="004E53A7"/>
  </w:style>
  <w:style w:type="paragraph" w:styleId="Piedepgina">
    <w:name w:val="footer"/>
    <w:basedOn w:val="Normal"/>
    <w:link w:val="PiedepginaCar"/>
    <w:uiPriority w:val="99"/>
    <w:unhideWhenUsed/>
    <w:rsid w:val="004E53A7"/>
    <w:pPr>
      <w:tabs>
        <w:tab w:val="center" w:pos="4419"/>
        <w:tab w:val="right" w:pos="8838"/>
      </w:tabs>
    </w:pPr>
  </w:style>
  <w:style w:type="character" w:customStyle="1" w:styleId="PiedepginaCar">
    <w:name w:val="Pie de página Car"/>
    <w:basedOn w:val="Fuentedeprrafopredeter"/>
    <w:link w:val="Piedepgina"/>
    <w:uiPriority w:val="99"/>
    <w:rsid w:val="004E53A7"/>
  </w:style>
  <w:style w:type="character" w:styleId="Hipervnculo">
    <w:name w:val="Hyperlink"/>
    <w:uiPriority w:val="99"/>
    <w:unhideWhenUsed/>
    <w:rsid w:val="00102D19"/>
    <w:rPr>
      <w:color w:val="0563C1"/>
      <w:u w:val="single"/>
    </w:rPr>
  </w:style>
  <w:style w:type="table" w:styleId="Tablaconcuadrcula">
    <w:name w:val="Table Grid"/>
    <w:basedOn w:val="Tablanormal"/>
    <w:uiPriority w:val="39"/>
    <w:rsid w:val="00102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905BB"/>
    <w:pPr>
      <w:ind w:left="720"/>
      <w:contextualSpacing/>
    </w:pPr>
  </w:style>
  <w:style w:type="paragraph" w:styleId="Textodeglobo">
    <w:name w:val="Balloon Text"/>
    <w:basedOn w:val="Normal"/>
    <w:link w:val="TextodegloboCar"/>
    <w:uiPriority w:val="99"/>
    <w:semiHidden/>
    <w:unhideWhenUsed/>
    <w:rsid w:val="00F1771D"/>
    <w:rPr>
      <w:rFonts w:ascii="Segoe UI" w:hAnsi="Segoe UI" w:cs="Segoe UI"/>
      <w:sz w:val="18"/>
      <w:szCs w:val="18"/>
    </w:rPr>
  </w:style>
  <w:style w:type="character" w:customStyle="1" w:styleId="TextodegloboCar">
    <w:name w:val="Texto de globo Car"/>
    <w:link w:val="Textodeglobo"/>
    <w:uiPriority w:val="99"/>
    <w:semiHidden/>
    <w:rsid w:val="00F1771D"/>
    <w:rPr>
      <w:rFonts w:ascii="Segoe UI" w:hAnsi="Segoe UI" w:cs="Segoe UI"/>
      <w:sz w:val="18"/>
      <w:szCs w:val="18"/>
    </w:rPr>
  </w:style>
  <w:style w:type="character" w:styleId="Hipervnculovisitado">
    <w:name w:val="FollowedHyperlink"/>
    <w:uiPriority w:val="99"/>
    <w:semiHidden/>
    <w:unhideWhenUsed/>
    <w:rsid w:val="008251AC"/>
    <w:rPr>
      <w:color w:val="954F72"/>
      <w:u w:val="single"/>
    </w:rPr>
  </w:style>
  <w:style w:type="paragraph" w:customStyle="1" w:styleId="Default">
    <w:name w:val="Default"/>
    <w:basedOn w:val="Normal"/>
    <w:rsid w:val="00DE165D"/>
    <w:pPr>
      <w:autoSpaceDE w:val="0"/>
      <w:autoSpaceDN w:val="0"/>
    </w:pPr>
    <w:rPr>
      <w:rFonts w:ascii="Arial" w:hAnsi="Arial" w:cs="Arial"/>
      <w:color w:val="000000"/>
      <w:sz w:val="24"/>
      <w:szCs w:val="24"/>
    </w:rPr>
  </w:style>
  <w:style w:type="character" w:customStyle="1" w:styleId="Mencinsinresolver1">
    <w:name w:val="Mención sin resolver1"/>
    <w:uiPriority w:val="99"/>
    <w:semiHidden/>
    <w:unhideWhenUsed/>
    <w:rsid w:val="00574552"/>
    <w:rPr>
      <w:color w:val="605E5C"/>
      <w:shd w:val="clear" w:color="auto" w:fill="E1DFDD"/>
    </w:rPr>
  </w:style>
  <w:style w:type="character" w:customStyle="1" w:styleId="Mencinsinresolver2">
    <w:name w:val="Mención sin resolver2"/>
    <w:uiPriority w:val="99"/>
    <w:semiHidden/>
    <w:unhideWhenUsed/>
    <w:rsid w:val="000F4C70"/>
    <w:rPr>
      <w:color w:val="605E5C"/>
      <w:shd w:val="clear" w:color="auto" w:fill="E1DFDD"/>
    </w:rPr>
  </w:style>
  <w:style w:type="character" w:customStyle="1" w:styleId="Mencinsinresolver3">
    <w:name w:val="Mención sin resolver3"/>
    <w:uiPriority w:val="99"/>
    <w:semiHidden/>
    <w:unhideWhenUsed/>
    <w:rsid w:val="0012098F"/>
    <w:rPr>
      <w:color w:val="605E5C"/>
      <w:shd w:val="clear" w:color="auto" w:fill="E1DFDD"/>
    </w:rPr>
  </w:style>
  <w:style w:type="paragraph" w:styleId="Revisin">
    <w:name w:val="Revision"/>
    <w:hidden/>
    <w:uiPriority w:val="99"/>
    <w:semiHidden/>
    <w:rsid w:val="001D1B43"/>
    <w:rPr>
      <w:sz w:val="22"/>
      <w:szCs w:val="22"/>
      <w:lang w:eastAsia="en-US"/>
    </w:rPr>
  </w:style>
  <w:style w:type="character" w:styleId="Refdecomentario">
    <w:name w:val="annotation reference"/>
    <w:uiPriority w:val="99"/>
    <w:semiHidden/>
    <w:unhideWhenUsed/>
    <w:rsid w:val="001D1B43"/>
    <w:rPr>
      <w:sz w:val="16"/>
      <w:szCs w:val="16"/>
    </w:rPr>
  </w:style>
  <w:style w:type="paragraph" w:styleId="Textocomentario">
    <w:name w:val="annotation text"/>
    <w:basedOn w:val="Normal"/>
    <w:link w:val="TextocomentarioCar"/>
    <w:uiPriority w:val="99"/>
    <w:unhideWhenUsed/>
    <w:rsid w:val="001D1B43"/>
  </w:style>
  <w:style w:type="character" w:customStyle="1" w:styleId="TextocomentarioCar">
    <w:name w:val="Texto comentario Car"/>
    <w:link w:val="Textocomentario"/>
    <w:uiPriority w:val="99"/>
    <w:rsid w:val="001D1B43"/>
    <w:rPr>
      <w:sz w:val="20"/>
      <w:szCs w:val="20"/>
    </w:rPr>
  </w:style>
  <w:style w:type="paragraph" w:styleId="Asuntodelcomentario">
    <w:name w:val="annotation subject"/>
    <w:basedOn w:val="Textocomentario"/>
    <w:next w:val="Textocomentario"/>
    <w:link w:val="AsuntodelcomentarioCar"/>
    <w:uiPriority w:val="99"/>
    <w:semiHidden/>
    <w:unhideWhenUsed/>
    <w:rsid w:val="001D1B43"/>
    <w:rPr>
      <w:b/>
      <w:bCs/>
    </w:rPr>
  </w:style>
  <w:style w:type="character" w:customStyle="1" w:styleId="AsuntodelcomentarioCar">
    <w:name w:val="Asunto del comentario Car"/>
    <w:link w:val="Asuntodelcomentario"/>
    <w:uiPriority w:val="99"/>
    <w:semiHidden/>
    <w:rsid w:val="001D1B43"/>
    <w:rPr>
      <w:b/>
      <w:bCs/>
      <w:sz w:val="20"/>
      <w:szCs w:val="20"/>
    </w:rPr>
  </w:style>
  <w:style w:type="character" w:styleId="Mencinsinresolver">
    <w:name w:val="Unresolved Mention"/>
    <w:uiPriority w:val="99"/>
    <w:semiHidden/>
    <w:unhideWhenUsed/>
    <w:rsid w:val="00246275"/>
    <w:rPr>
      <w:color w:val="605E5C"/>
      <w:shd w:val="clear" w:color="auto" w:fill="E1DFDD"/>
    </w:rPr>
  </w:style>
  <w:style w:type="paragraph" w:styleId="Textonotapie">
    <w:name w:val="footnote text"/>
    <w:basedOn w:val="Normal"/>
    <w:link w:val="TextonotapieCar"/>
    <w:uiPriority w:val="99"/>
    <w:unhideWhenUsed/>
    <w:rsid w:val="000A458A"/>
  </w:style>
  <w:style w:type="character" w:customStyle="1" w:styleId="TextonotapieCar">
    <w:name w:val="Texto nota pie Car"/>
    <w:link w:val="Textonotapie"/>
    <w:uiPriority w:val="99"/>
    <w:rsid w:val="000A458A"/>
    <w:rPr>
      <w:sz w:val="20"/>
      <w:szCs w:val="20"/>
    </w:rPr>
  </w:style>
  <w:style w:type="character" w:styleId="Refdenotaalpie">
    <w:name w:val="footnote reference"/>
    <w:uiPriority w:val="99"/>
    <w:unhideWhenUsed/>
    <w:rsid w:val="000A45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7223">
      <w:bodyDiv w:val="1"/>
      <w:marLeft w:val="0"/>
      <w:marRight w:val="0"/>
      <w:marTop w:val="0"/>
      <w:marBottom w:val="0"/>
      <w:divBdr>
        <w:top w:val="none" w:sz="0" w:space="0" w:color="auto"/>
        <w:left w:val="none" w:sz="0" w:space="0" w:color="auto"/>
        <w:bottom w:val="none" w:sz="0" w:space="0" w:color="auto"/>
        <w:right w:val="none" w:sz="0" w:space="0" w:color="auto"/>
      </w:divBdr>
    </w:div>
    <w:div w:id="73474691">
      <w:bodyDiv w:val="1"/>
      <w:marLeft w:val="0"/>
      <w:marRight w:val="0"/>
      <w:marTop w:val="0"/>
      <w:marBottom w:val="0"/>
      <w:divBdr>
        <w:top w:val="none" w:sz="0" w:space="0" w:color="auto"/>
        <w:left w:val="none" w:sz="0" w:space="0" w:color="auto"/>
        <w:bottom w:val="none" w:sz="0" w:space="0" w:color="auto"/>
        <w:right w:val="none" w:sz="0" w:space="0" w:color="auto"/>
      </w:divBdr>
    </w:div>
    <w:div w:id="111483389">
      <w:bodyDiv w:val="1"/>
      <w:marLeft w:val="0"/>
      <w:marRight w:val="0"/>
      <w:marTop w:val="0"/>
      <w:marBottom w:val="0"/>
      <w:divBdr>
        <w:top w:val="none" w:sz="0" w:space="0" w:color="auto"/>
        <w:left w:val="none" w:sz="0" w:space="0" w:color="auto"/>
        <w:bottom w:val="none" w:sz="0" w:space="0" w:color="auto"/>
        <w:right w:val="none" w:sz="0" w:space="0" w:color="auto"/>
      </w:divBdr>
    </w:div>
    <w:div w:id="141048367">
      <w:bodyDiv w:val="1"/>
      <w:marLeft w:val="0"/>
      <w:marRight w:val="0"/>
      <w:marTop w:val="0"/>
      <w:marBottom w:val="0"/>
      <w:divBdr>
        <w:top w:val="none" w:sz="0" w:space="0" w:color="auto"/>
        <w:left w:val="none" w:sz="0" w:space="0" w:color="auto"/>
        <w:bottom w:val="none" w:sz="0" w:space="0" w:color="auto"/>
        <w:right w:val="none" w:sz="0" w:space="0" w:color="auto"/>
      </w:divBdr>
    </w:div>
    <w:div w:id="144519742">
      <w:bodyDiv w:val="1"/>
      <w:marLeft w:val="0"/>
      <w:marRight w:val="0"/>
      <w:marTop w:val="0"/>
      <w:marBottom w:val="0"/>
      <w:divBdr>
        <w:top w:val="none" w:sz="0" w:space="0" w:color="auto"/>
        <w:left w:val="none" w:sz="0" w:space="0" w:color="auto"/>
        <w:bottom w:val="none" w:sz="0" w:space="0" w:color="auto"/>
        <w:right w:val="none" w:sz="0" w:space="0" w:color="auto"/>
      </w:divBdr>
    </w:div>
    <w:div w:id="152644718">
      <w:bodyDiv w:val="1"/>
      <w:marLeft w:val="0"/>
      <w:marRight w:val="0"/>
      <w:marTop w:val="0"/>
      <w:marBottom w:val="0"/>
      <w:divBdr>
        <w:top w:val="none" w:sz="0" w:space="0" w:color="auto"/>
        <w:left w:val="none" w:sz="0" w:space="0" w:color="auto"/>
        <w:bottom w:val="none" w:sz="0" w:space="0" w:color="auto"/>
        <w:right w:val="none" w:sz="0" w:space="0" w:color="auto"/>
      </w:divBdr>
    </w:div>
    <w:div w:id="175391876">
      <w:bodyDiv w:val="1"/>
      <w:marLeft w:val="0"/>
      <w:marRight w:val="0"/>
      <w:marTop w:val="0"/>
      <w:marBottom w:val="0"/>
      <w:divBdr>
        <w:top w:val="none" w:sz="0" w:space="0" w:color="auto"/>
        <w:left w:val="none" w:sz="0" w:space="0" w:color="auto"/>
        <w:bottom w:val="none" w:sz="0" w:space="0" w:color="auto"/>
        <w:right w:val="none" w:sz="0" w:space="0" w:color="auto"/>
      </w:divBdr>
    </w:div>
    <w:div w:id="341931516">
      <w:bodyDiv w:val="1"/>
      <w:marLeft w:val="0"/>
      <w:marRight w:val="0"/>
      <w:marTop w:val="0"/>
      <w:marBottom w:val="0"/>
      <w:divBdr>
        <w:top w:val="none" w:sz="0" w:space="0" w:color="auto"/>
        <w:left w:val="none" w:sz="0" w:space="0" w:color="auto"/>
        <w:bottom w:val="none" w:sz="0" w:space="0" w:color="auto"/>
        <w:right w:val="none" w:sz="0" w:space="0" w:color="auto"/>
      </w:divBdr>
    </w:div>
    <w:div w:id="349987678">
      <w:bodyDiv w:val="1"/>
      <w:marLeft w:val="0"/>
      <w:marRight w:val="0"/>
      <w:marTop w:val="0"/>
      <w:marBottom w:val="0"/>
      <w:divBdr>
        <w:top w:val="none" w:sz="0" w:space="0" w:color="auto"/>
        <w:left w:val="none" w:sz="0" w:space="0" w:color="auto"/>
        <w:bottom w:val="none" w:sz="0" w:space="0" w:color="auto"/>
        <w:right w:val="none" w:sz="0" w:space="0" w:color="auto"/>
      </w:divBdr>
    </w:div>
    <w:div w:id="391735211">
      <w:bodyDiv w:val="1"/>
      <w:marLeft w:val="0"/>
      <w:marRight w:val="0"/>
      <w:marTop w:val="0"/>
      <w:marBottom w:val="0"/>
      <w:divBdr>
        <w:top w:val="none" w:sz="0" w:space="0" w:color="auto"/>
        <w:left w:val="none" w:sz="0" w:space="0" w:color="auto"/>
        <w:bottom w:val="none" w:sz="0" w:space="0" w:color="auto"/>
        <w:right w:val="none" w:sz="0" w:space="0" w:color="auto"/>
      </w:divBdr>
    </w:div>
    <w:div w:id="402143066">
      <w:bodyDiv w:val="1"/>
      <w:marLeft w:val="0"/>
      <w:marRight w:val="0"/>
      <w:marTop w:val="0"/>
      <w:marBottom w:val="0"/>
      <w:divBdr>
        <w:top w:val="none" w:sz="0" w:space="0" w:color="auto"/>
        <w:left w:val="none" w:sz="0" w:space="0" w:color="auto"/>
        <w:bottom w:val="none" w:sz="0" w:space="0" w:color="auto"/>
        <w:right w:val="none" w:sz="0" w:space="0" w:color="auto"/>
      </w:divBdr>
    </w:div>
    <w:div w:id="470438413">
      <w:bodyDiv w:val="1"/>
      <w:marLeft w:val="0"/>
      <w:marRight w:val="0"/>
      <w:marTop w:val="0"/>
      <w:marBottom w:val="0"/>
      <w:divBdr>
        <w:top w:val="none" w:sz="0" w:space="0" w:color="auto"/>
        <w:left w:val="none" w:sz="0" w:space="0" w:color="auto"/>
        <w:bottom w:val="none" w:sz="0" w:space="0" w:color="auto"/>
        <w:right w:val="none" w:sz="0" w:space="0" w:color="auto"/>
      </w:divBdr>
    </w:div>
    <w:div w:id="660739244">
      <w:bodyDiv w:val="1"/>
      <w:marLeft w:val="0"/>
      <w:marRight w:val="0"/>
      <w:marTop w:val="0"/>
      <w:marBottom w:val="0"/>
      <w:divBdr>
        <w:top w:val="none" w:sz="0" w:space="0" w:color="auto"/>
        <w:left w:val="none" w:sz="0" w:space="0" w:color="auto"/>
        <w:bottom w:val="none" w:sz="0" w:space="0" w:color="auto"/>
        <w:right w:val="none" w:sz="0" w:space="0" w:color="auto"/>
      </w:divBdr>
    </w:div>
    <w:div w:id="810294123">
      <w:bodyDiv w:val="1"/>
      <w:marLeft w:val="0"/>
      <w:marRight w:val="0"/>
      <w:marTop w:val="0"/>
      <w:marBottom w:val="0"/>
      <w:divBdr>
        <w:top w:val="none" w:sz="0" w:space="0" w:color="auto"/>
        <w:left w:val="none" w:sz="0" w:space="0" w:color="auto"/>
        <w:bottom w:val="none" w:sz="0" w:space="0" w:color="auto"/>
        <w:right w:val="none" w:sz="0" w:space="0" w:color="auto"/>
      </w:divBdr>
    </w:div>
    <w:div w:id="1054307838">
      <w:bodyDiv w:val="1"/>
      <w:marLeft w:val="0"/>
      <w:marRight w:val="0"/>
      <w:marTop w:val="0"/>
      <w:marBottom w:val="0"/>
      <w:divBdr>
        <w:top w:val="none" w:sz="0" w:space="0" w:color="auto"/>
        <w:left w:val="none" w:sz="0" w:space="0" w:color="auto"/>
        <w:bottom w:val="none" w:sz="0" w:space="0" w:color="auto"/>
        <w:right w:val="none" w:sz="0" w:space="0" w:color="auto"/>
      </w:divBdr>
    </w:div>
    <w:div w:id="1126580049">
      <w:bodyDiv w:val="1"/>
      <w:marLeft w:val="0"/>
      <w:marRight w:val="0"/>
      <w:marTop w:val="0"/>
      <w:marBottom w:val="0"/>
      <w:divBdr>
        <w:top w:val="none" w:sz="0" w:space="0" w:color="auto"/>
        <w:left w:val="none" w:sz="0" w:space="0" w:color="auto"/>
        <w:bottom w:val="none" w:sz="0" w:space="0" w:color="auto"/>
        <w:right w:val="none" w:sz="0" w:space="0" w:color="auto"/>
      </w:divBdr>
    </w:div>
    <w:div w:id="1206717346">
      <w:bodyDiv w:val="1"/>
      <w:marLeft w:val="0"/>
      <w:marRight w:val="0"/>
      <w:marTop w:val="0"/>
      <w:marBottom w:val="0"/>
      <w:divBdr>
        <w:top w:val="none" w:sz="0" w:space="0" w:color="auto"/>
        <w:left w:val="none" w:sz="0" w:space="0" w:color="auto"/>
        <w:bottom w:val="none" w:sz="0" w:space="0" w:color="auto"/>
        <w:right w:val="none" w:sz="0" w:space="0" w:color="auto"/>
      </w:divBdr>
    </w:div>
    <w:div w:id="1388450637">
      <w:bodyDiv w:val="1"/>
      <w:marLeft w:val="0"/>
      <w:marRight w:val="0"/>
      <w:marTop w:val="0"/>
      <w:marBottom w:val="0"/>
      <w:divBdr>
        <w:top w:val="none" w:sz="0" w:space="0" w:color="auto"/>
        <w:left w:val="none" w:sz="0" w:space="0" w:color="auto"/>
        <w:bottom w:val="none" w:sz="0" w:space="0" w:color="auto"/>
        <w:right w:val="none" w:sz="0" w:space="0" w:color="auto"/>
      </w:divBdr>
    </w:div>
    <w:div w:id="1424301223">
      <w:bodyDiv w:val="1"/>
      <w:marLeft w:val="0"/>
      <w:marRight w:val="0"/>
      <w:marTop w:val="0"/>
      <w:marBottom w:val="0"/>
      <w:divBdr>
        <w:top w:val="none" w:sz="0" w:space="0" w:color="auto"/>
        <w:left w:val="none" w:sz="0" w:space="0" w:color="auto"/>
        <w:bottom w:val="none" w:sz="0" w:space="0" w:color="auto"/>
        <w:right w:val="none" w:sz="0" w:space="0" w:color="auto"/>
      </w:divBdr>
    </w:div>
    <w:div w:id="1667857233">
      <w:bodyDiv w:val="1"/>
      <w:marLeft w:val="0"/>
      <w:marRight w:val="0"/>
      <w:marTop w:val="0"/>
      <w:marBottom w:val="0"/>
      <w:divBdr>
        <w:top w:val="none" w:sz="0" w:space="0" w:color="auto"/>
        <w:left w:val="none" w:sz="0" w:space="0" w:color="auto"/>
        <w:bottom w:val="none" w:sz="0" w:space="0" w:color="auto"/>
        <w:right w:val="none" w:sz="0" w:space="0" w:color="auto"/>
      </w:divBdr>
    </w:div>
    <w:div w:id="1766223974">
      <w:bodyDiv w:val="1"/>
      <w:marLeft w:val="0"/>
      <w:marRight w:val="0"/>
      <w:marTop w:val="0"/>
      <w:marBottom w:val="0"/>
      <w:divBdr>
        <w:top w:val="none" w:sz="0" w:space="0" w:color="auto"/>
        <w:left w:val="none" w:sz="0" w:space="0" w:color="auto"/>
        <w:bottom w:val="none" w:sz="0" w:space="0" w:color="auto"/>
        <w:right w:val="none" w:sz="0" w:space="0" w:color="auto"/>
      </w:divBdr>
    </w:div>
    <w:div w:id="1872763627">
      <w:bodyDiv w:val="1"/>
      <w:marLeft w:val="0"/>
      <w:marRight w:val="0"/>
      <w:marTop w:val="0"/>
      <w:marBottom w:val="0"/>
      <w:divBdr>
        <w:top w:val="none" w:sz="0" w:space="0" w:color="auto"/>
        <w:left w:val="none" w:sz="0" w:space="0" w:color="auto"/>
        <w:bottom w:val="none" w:sz="0" w:space="0" w:color="auto"/>
        <w:right w:val="none" w:sz="0" w:space="0" w:color="auto"/>
      </w:divBdr>
    </w:div>
    <w:div w:id="2006544712">
      <w:bodyDiv w:val="1"/>
      <w:marLeft w:val="0"/>
      <w:marRight w:val="0"/>
      <w:marTop w:val="0"/>
      <w:marBottom w:val="0"/>
      <w:divBdr>
        <w:top w:val="none" w:sz="0" w:space="0" w:color="auto"/>
        <w:left w:val="none" w:sz="0" w:space="0" w:color="auto"/>
        <w:bottom w:val="none" w:sz="0" w:space="0" w:color="auto"/>
        <w:right w:val="none" w:sz="0" w:space="0" w:color="auto"/>
      </w:divBdr>
    </w:div>
    <w:div w:id="208957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municacionessfc@superfinancier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8F9D7-736A-4E71-9ED4-007CB6572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850</Words>
  <Characters>4676</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Cristina Quintero Velandia</dc:creator>
  <cp:keywords/>
  <dc:description/>
  <cp:lastModifiedBy>Kelly Johanna Granados Valbuena</cp:lastModifiedBy>
  <cp:revision>7</cp:revision>
  <cp:lastPrinted>2020-03-23T16:01:00Z</cp:lastPrinted>
  <dcterms:created xsi:type="dcterms:W3CDTF">2025-09-22T16:36:00Z</dcterms:created>
  <dcterms:modified xsi:type="dcterms:W3CDTF">2025-09-23T20:43:00Z</dcterms:modified>
</cp:coreProperties>
</file>