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B473" w14:textId="77777777" w:rsidR="007A2869" w:rsidRDefault="007A2869">
      <w:pPr>
        <w:spacing w:line="480" w:lineRule="auto"/>
      </w:pPr>
    </w:p>
    <w:p w14:paraId="2536B474" w14:textId="77777777" w:rsidR="007A2869" w:rsidRDefault="007A2869">
      <w:pPr>
        <w:spacing w:line="480" w:lineRule="auto"/>
      </w:pPr>
    </w:p>
    <w:p w14:paraId="2536B475" w14:textId="77777777" w:rsidR="007A2869" w:rsidRDefault="007A2869">
      <w:pPr>
        <w:spacing w:line="480" w:lineRule="auto"/>
      </w:pPr>
    </w:p>
    <w:p w14:paraId="2536B476" w14:textId="77777777" w:rsidR="007A2869" w:rsidRDefault="00000000">
      <w:pPr>
        <w:spacing w:after="480" w:line="480" w:lineRule="auto"/>
        <w:jc w:val="center"/>
      </w:pPr>
      <w:r w:rsidRPr="00E80308">
        <w:rPr>
          <w:b/>
          <w:bCs/>
          <w:sz w:val="28"/>
          <w:szCs w:val="28"/>
        </w:rPr>
        <w:t>When Regimes Do Not Pay</w:t>
      </w:r>
      <w:r>
        <w:rPr>
          <w:sz w:val="28"/>
          <w:szCs w:val="28"/>
        </w:rPr>
        <w:t>: Tail-Risk Allocation, Sovereign Bonds, and Implementation Frictions in European Multi-Asset Portfolios</w:t>
      </w:r>
    </w:p>
    <w:p w14:paraId="2536B477" w14:textId="77777777" w:rsidR="007A2869" w:rsidRDefault="007A2869">
      <w:pPr>
        <w:spacing w:line="480" w:lineRule="auto"/>
      </w:pPr>
    </w:p>
    <w:p w14:paraId="2536B478" w14:textId="3C69D436" w:rsidR="007A2869" w:rsidRPr="00E80308" w:rsidRDefault="00000000">
      <w:pPr>
        <w:spacing w:after="120" w:line="480" w:lineRule="auto"/>
        <w:jc w:val="center"/>
        <w:rPr>
          <w:lang w:val="es-ES"/>
        </w:rPr>
      </w:pPr>
      <w:r w:rsidRPr="00E80308">
        <w:rPr>
          <w:lang w:val="es-ES"/>
        </w:rPr>
        <w:t>JORGE GRUBE</w:t>
      </w:r>
      <w:r w:rsidR="00E80308">
        <w:rPr>
          <w:lang w:val="es-ES"/>
        </w:rPr>
        <w:t xml:space="preserve"> MARTÍN-LUNAS</w:t>
      </w:r>
    </w:p>
    <w:p w14:paraId="2536B479" w14:textId="77777777" w:rsidR="007A2869" w:rsidRPr="00E80308" w:rsidRDefault="00000000">
      <w:pPr>
        <w:spacing w:after="480" w:line="480" w:lineRule="auto"/>
        <w:jc w:val="center"/>
        <w:rPr>
          <w:lang w:val="es-ES"/>
        </w:rPr>
      </w:pPr>
      <w:r w:rsidRPr="00E80308">
        <w:rPr>
          <w:i/>
          <w:iCs/>
          <w:lang w:val="es-ES"/>
        </w:rPr>
        <w:t>Universidad Francisco de Vitoria</w:t>
      </w:r>
    </w:p>
    <w:p w14:paraId="2536B47A" w14:textId="77777777" w:rsidR="007A2869" w:rsidRPr="00E80308" w:rsidRDefault="007A2869">
      <w:pPr>
        <w:spacing w:line="480" w:lineRule="auto"/>
        <w:rPr>
          <w:lang w:val="es-ES"/>
        </w:rPr>
      </w:pPr>
    </w:p>
    <w:p w14:paraId="2536B47B" w14:textId="77777777" w:rsidR="007A2869" w:rsidRPr="00E80308" w:rsidRDefault="007A2869">
      <w:pPr>
        <w:spacing w:line="480" w:lineRule="auto"/>
        <w:rPr>
          <w:lang w:val="es-ES"/>
        </w:rPr>
      </w:pPr>
    </w:p>
    <w:p w14:paraId="2536B47C" w14:textId="77777777" w:rsidR="007A2869" w:rsidRDefault="00000000">
      <w:pPr>
        <w:spacing w:after="480" w:line="480" w:lineRule="auto"/>
        <w:jc w:val="center"/>
      </w:pPr>
      <w:r>
        <w:t>May 2026</w:t>
      </w:r>
    </w:p>
    <w:p w14:paraId="2536B47D" w14:textId="77777777" w:rsidR="007A2869" w:rsidRDefault="007A2869">
      <w:pPr>
        <w:spacing w:line="480" w:lineRule="auto"/>
      </w:pPr>
    </w:p>
    <w:p w14:paraId="2536B47E" w14:textId="77777777" w:rsidR="007A2869" w:rsidRDefault="007A2869">
      <w:pPr>
        <w:spacing w:line="480" w:lineRule="auto"/>
      </w:pPr>
    </w:p>
    <w:p w14:paraId="5C8AD08B" w14:textId="77777777" w:rsidR="00E80308" w:rsidRDefault="00E80308">
      <w:pPr>
        <w:spacing w:line="480" w:lineRule="auto"/>
      </w:pPr>
    </w:p>
    <w:p w14:paraId="4EBC4C9D" w14:textId="77777777" w:rsidR="00E80308" w:rsidRDefault="00E80308">
      <w:pPr>
        <w:spacing w:line="480" w:lineRule="auto"/>
      </w:pPr>
    </w:p>
    <w:p w14:paraId="6AA6CBDE" w14:textId="77777777" w:rsidR="00E80308" w:rsidRDefault="00E80308">
      <w:pPr>
        <w:spacing w:line="480" w:lineRule="auto"/>
      </w:pPr>
    </w:p>
    <w:p w14:paraId="2D956321" w14:textId="77777777" w:rsidR="00E80308" w:rsidRDefault="00E80308">
      <w:pPr>
        <w:spacing w:line="480" w:lineRule="auto"/>
      </w:pPr>
    </w:p>
    <w:p w14:paraId="552ED813" w14:textId="77777777" w:rsidR="00E80308" w:rsidRDefault="00E80308">
      <w:r>
        <w:br w:type="page"/>
      </w:r>
    </w:p>
    <w:p w14:paraId="2536B47F" w14:textId="20D637FE" w:rsidR="007A2869" w:rsidRDefault="00000000" w:rsidP="00E80308">
      <w:pPr>
        <w:spacing w:after="240" w:line="480" w:lineRule="auto"/>
        <w:jc w:val="center"/>
      </w:pPr>
      <w:r>
        <w:lastRenderedPageBreak/>
        <w:t>ABSTRACT</w:t>
      </w:r>
    </w:p>
    <w:p w14:paraId="2536B480" w14:textId="77777777" w:rsidR="007A2869" w:rsidRDefault="00000000">
      <w:pPr>
        <w:spacing w:line="480" w:lineRule="auto"/>
        <w:jc w:val="both"/>
      </w:pPr>
      <w:r>
        <w:t>We ask whether HMM-detected market regimes can be translated into out-of-sample CVaR portfolio gains. Using 26 years of weekly European multi-asset returns, we find they cannot. Static CVaR achieves a Sharpe ratio of 0.530 over 2010 to 2026. Naive regime-filtered CVaR raises annual turnover to 226%, collapsing net performance. Implementation-aware alternatives, including turnover-penalized and regime-constrained CVaR, recover cost drag but do not surpass the static benchmark. The central finding is not that regimes are undetectable, but that detected regimes cannot be translated into stable, low-turnover portfolio weights without forfeiting the return advantage.</w:t>
      </w:r>
    </w:p>
    <w:p w14:paraId="2536B481" w14:textId="77777777" w:rsidR="007A2869" w:rsidRDefault="007A2869">
      <w:pPr>
        <w:spacing w:line="480" w:lineRule="auto"/>
      </w:pPr>
    </w:p>
    <w:p w14:paraId="2536B482" w14:textId="77777777" w:rsidR="007A2869" w:rsidRDefault="00000000">
      <w:pPr>
        <w:spacing w:before="240" w:after="60" w:line="360" w:lineRule="auto"/>
      </w:pPr>
      <w:r>
        <w:rPr>
          <w:i/>
          <w:iCs/>
          <w:sz w:val="22"/>
          <w:szCs w:val="22"/>
        </w:rPr>
        <w:t>JEL Classification: G11, G12, C22</w:t>
      </w:r>
    </w:p>
    <w:p w14:paraId="2536B483" w14:textId="77777777" w:rsidR="007A2869" w:rsidRDefault="00000000">
      <w:pPr>
        <w:spacing w:after="240" w:line="360" w:lineRule="auto"/>
      </w:pPr>
      <w:r>
        <w:rPr>
          <w:i/>
          <w:iCs/>
          <w:sz w:val="22"/>
          <w:szCs w:val="22"/>
        </w:rPr>
        <w:t>Keywords: CVaR optimization, regime detection, Hidden Markov Model, portfolio management, transaction costs, European equities</w:t>
      </w:r>
    </w:p>
    <w:p w14:paraId="2536B484" w14:textId="77777777" w:rsidR="007A2869" w:rsidRDefault="007A2869">
      <w:pPr>
        <w:spacing w:line="480" w:lineRule="auto"/>
      </w:pPr>
    </w:p>
    <w:p w14:paraId="2536B485" w14:textId="77777777" w:rsidR="007A2869" w:rsidRDefault="00000000">
      <w:pPr>
        <w:spacing w:before="120" w:after="60" w:line="360" w:lineRule="auto"/>
      </w:pPr>
      <w:r>
        <w:rPr>
          <w:b/>
          <w:bCs/>
          <w:sz w:val="20"/>
          <w:szCs w:val="20"/>
        </w:rPr>
        <w:t>Conflict-of-Interest Disclosure</w:t>
      </w:r>
    </w:p>
    <w:p w14:paraId="2536B486" w14:textId="77777777" w:rsidR="007A2869" w:rsidRDefault="00000000">
      <w:pPr>
        <w:spacing w:line="360" w:lineRule="auto"/>
      </w:pPr>
      <w:r>
        <w:rPr>
          <w:sz w:val="20"/>
          <w:szCs w:val="20"/>
        </w:rPr>
        <w:t>Jorge Grube Martin-Lunas: I have nothing to disclose.</w:t>
      </w:r>
    </w:p>
    <w:p w14:paraId="2536B487" w14:textId="77777777" w:rsidR="007A2869" w:rsidRDefault="00000000">
      <w:r>
        <w:br w:type="page"/>
      </w:r>
    </w:p>
    <w:p w14:paraId="2536B488" w14:textId="77777777" w:rsidR="007A2869" w:rsidRDefault="00000000">
      <w:pPr>
        <w:spacing w:line="480" w:lineRule="auto"/>
        <w:ind w:firstLine="720"/>
        <w:jc w:val="both"/>
      </w:pPr>
      <w:r>
        <w:lastRenderedPageBreak/>
        <w:t>Whether financial market regimes can be detected has a well-established affirmative answer. Hamilton's (1989) Hidden Markov Model for business-cycle identification and Ang and Bekaert's (2002, 2004) regime-switching asset return model document that equity volatility, credit spreads, and correlation structures shift across identifiable states. The more consequential question, and the one this paper addresses, is different: once regimes are detected, can that detection be translated into portfolio gains? The answer depends not on whether a regime label is assigned correctly, but on whether acting on that label generates stable, low-turnover weights that survive transaction costs. The central question is not whether regimes can be detected, but whether detected regimes can be translated into stable, low-turnover portfolio weights.</w:t>
      </w:r>
    </w:p>
    <w:p w14:paraId="2536B489" w14:textId="77777777" w:rsidR="007A2869" w:rsidRDefault="007A2869">
      <w:pPr>
        <w:spacing w:line="480" w:lineRule="auto"/>
      </w:pPr>
    </w:p>
    <w:p w14:paraId="2536B48A" w14:textId="77777777" w:rsidR="007A2869" w:rsidRDefault="00000000">
      <w:pPr>
        <w:spacing w:line="480" w:lineRule="auto"/>
        <w:ind w:firstLine="720"/>
        <w:jc w:val="both"/>
      </w:pPr>
      <w:r>
        <w:t>The European multi-asset setting provides a demanding environment for this question. Europe has experienced four structurally distinct macro episodes within a single 26-year window: the post-dot-com normalization of 2002 to 2006, the Global Financial Crisis of 2008 to 2009, the European sovereign debt crisis of 2011 to 2012 with its unique peripheral spread dynamics, and the post-zero-interest-rate transition of 2022 in which ECB rate hikes imposed severe losses on long-duration bonds that had previously served as the universal risk-off instrument. Each episode rewarded a different defensive allocation: commodities and cash in 2008, government bonds in 2011, and commodities again in 2022. This structural instability makes Europe an informative laboratory for evaluating whether HMM-based conditioning can reliably identify and pre-position for such transitions in real time.</w:t>
      </w:r>
    </w:p>
    <w:p w14:paraId="2536B48B" w14:textId="77777777" w:rsidR="007A2869" w:rsidRDefault="007A2869">
      <w:pPr>
        <w:spacing w:line="480" w:lineRule="auto"/>
      </w:pPr>
    </w:p>
    <w:p w14:paraId="2536B48D" w14:textId="03E927F6" w:rsidR="007A2869" w:rsidRDefault="00000000" w:rsidP="004C02D7">
      <w:pPr>
        <w:spacing w:line="480" w:lineRule="auto"/>
        <w:ind w:firstLine="720"/>
        <w:jc w:val="both"/>
      </w:pPr>
      <w:r>
        <w:lastRenderedPageBreak/>
        <w:t>We study this question using ten risky assets spanning equities, commodities, real estate, and energy, over January 2000 to April 2026. Our primary research design combines Conditional Value-at-Risk (CVaR) portfolio optimization, a coherent, regulation-friendly risk measure (Rockafellar and Uryasev, 2000), with a four-state Gaussian Hidden Markov Model estimated on eight macro-financial features. The HMM generates strictly out-of-sample regime labels via an expanding walk-forward procedure, and we use these labels to condition the CVaR scenario set on the current market state (Regime CVaR-A) or to importance-weight scenarios proportionally to regime posteriors (Weighted CVaR).</w:t>
      </w:r>
    </w:p>
    <w:p w14:paraId="218C201F" w14:textId="77777777" w:rsidR="004C02D7" w:rsidRDefault="004C02D7" w:rsidP="004C02D7">
      <w:pPr>
        <w:spacing w:line="480" w:lineRule="auto"/>
        <w:ind w:firstLine="720"/>
        <w:jc w:val="both"/>
      </w:pPr>
    </w:p>
    <w:p w14:paraId="2536B48E" w14:textId="77777777" w:rsidR="007A2869" w:rsidRDefault="00000000">
      <w:pPr>
        <w:spacing w:line="480" w:lineRule="auto"/>
        <w:ind w:firstLine="720"/>
        <w:jc w:val="both"/>
      </w:pPr>
      <w:r>
        <w:t>A critical feature of our design is the strict out-of-sample discipline throughout. At each four-week rebalance step, the HMM is re-estimated from scratch on all available history up to that date, with no forward-looking information ever entering portfolio construction. This walk-forward expanding-window design contrasts with the partial in-sample evaluations common in earlier regime-switching portfolio work and ensures that reported Sharpe ratios reflect genuine predictive content rather than in-sample fit (see Guidolin and Timmermann, 2007, for a discussion of this distinction). All transaction costs are applied at each rebalance using realized turnover, not the theoretical minimum implied by target weights.</w:t>
      </w:r>
    </w:p>
    <w:p w14:paraId="2536B48F" w14:textId="77777777" w:rsidR="007A2869" w:rsidRDefault="007A2869">
      <w:pPr>
        <w:spacing w:line="480" w:lineRule="auto"/>
      </w:pPr>
    </w:p>
    <w:p w14:paraId="2536B490" w14:textId="797AABBE" w:rsidR="007A2869" w:rsidRDefault="00000000">
      <w:pPr>
        <w:spacing w:line="480" w:lineRule="auto"/>
        <w:ind w:firstLine="720"/>
        <w:jc w:val="both"/>
      </w:pPr>
      <w:r>
        <w:t xml:space="preserve">Our central finding is that regime detection is </w:t>
      </w:r>
      <w:r w:rsidR="00E3536B">
        <w:t>reliable,</w:t>
      </w:r>
      <w:r>
        <w:t xml:space="preserve"> but regime implementation is structurally costly. Over the 2010 to 2026 evaluation window (808 weekly observations), the walk-forward HMM produces stable regime assignments, with adjacent-window label agreement </w:t>
      </w:r>
      <w:r>
        <w:lastRenderedPageBreak/>
        <w:t>exceeding 94% of weeks. The detection step succeeds. What fails is translation: when the detected regime changes, the CVaR linear program's scenario set changes discontinuously, generating portfolio reconstitution turnover of 226% annually, tenfold that of the static benchmark. Static CVaR achieves an annualized Sharpe ratio of 0.530 and a maximum drawdown of -25.3%. Regime CVaR-A achieves a Sharpe of only 0.365. At ten basis points of transaction costs, its net Sharpe falls to 0.346 versus 0.528 for Static CVaR.</w:t>
      </w:r>
    </w:p>
    <w:p w14:paraId="2536B491" w14:textId="77777777" w:rsidR="007A2869" w:rsidRDefault="007A2869">
      <w:pPr>
        <w:spacing w:line="480" w:lineRule="auto"/>
      </w:pPr>
    </w:p>
    <w:p w14:paraId="2536B492" w14:textId="77777777" w:rsidR="007A2869" w:rsidRDefault="00000000">
      <w:pPr>
        <w:spacing w:line="480" w:lineRule="auto"/>
        <w:ind w:firstLine="720"/>
        <w:jc w:val="both"/>
      </w:pPr>
      <w:r>
        <w:t>Two implementation-aware approaches address the translation failure directly. A turnover-penalized CVaR formulation adds an L1 cost term to the linear program objective, reducing Regime CVaR-A turnover from 226% to 60% and recovering net Sharpe to 0.486. Regime-aware weight-band constraints encode investment policy beliefs as group-level bounds, reducing equity exposure and increasing defensive allocations in stress states, while preserving the full CVaR scenario set intact. This approach achieves 0.519 net Sharpe at only 29% annual turnover, within 0.009 of the static benchmark. Neither formulation surpasses Static CVaR in any robustness specification.</w:t>
      </w:r>
    </w:p>
    <w:p w14:paraId="2536B493" w14:textId="77777777" w:rsidR="007A2869" w:rsidRDefault="007A2869">
      <w:pPr>
        <w:spacing w:line="480" w:lineRule="auto"/>
      </w:pPr>
    </w:p>
    <w:p w14:paraId="2536B494" w14:textId="77777777" w:rsidR="007A2869" w:rsidRDefault="00000000">
      <w:pPr>
        <w:spacing w:line="480" w:lineRule="auto"/>
        <w:ind w:firstLine="720"/>
        <w:jc w:val="both"/>
      </w:pPr>
      <w:r>
        <w:t xml:space="preserve">A 14-asset FI-expanded universe adding sovereign bond total-return indices improves Panel A Sharpe by 0.034 and reduces maximum drawdown from -39.5% to -14.8%. The 2022 ECB rate-hiking cycle, however, inflicts -10% to -13% portfolio losses on the bond-heavy FI-expanded portfolio while the baseline, concentrated in commodities and gold, avoids this shock. Bond inclusion changes the defensive allocation channel rather than uniformly improving all </w:t>
      </w:r>
      <w:r>
        <w:lastRenderedPageBreak/>
        <w:t>outcomes. This tension illustrates a general principle: opportunity set design implicitly takes positions on macro risk factors that may or may not be compensated in the evaluation sample.</w:t>
      </w:r>
    </w:p>
    <w:p w14:paraId="2536B495" w14:textId="77777777" w:rsidR="007A2869" w:rsidRDefault="007A2869">
      <w:pPr>
        <w:spacing w:line="480" w:lineRule="auto"/>
      </w:pPr>
    </w:p>
    <w:p w14:paraId="2536B496" w14:textId="77777777" w:rsidR="007A2869" w:rsidRDefault="00000000">
      <w:pPr>
        <w:spacing w:line="480" w:lineRule="auto"/>
        <w:ind w:firstLine="720"/>
        <w:jc w:val="both"/>
      </w:pPr>
      <w:r>
        <w:t>Our contributions span three areas. First, we provide a strictly out-of-sample evaluation of regime-conditional CVaR in a European multi-asset context, extending Guidolin and Timmermann (2007) and Ang and Bekaert (2004) to the implementation viability question. Second, we identify the LP scenario discontinuity as the primary mechanism of regime CVaR failure, distinguishing detection quality from implementation cost, a distinction absent from most prior regime portfolio work. Third, we show that the implementation gap can be largely closed through turnover-penalized optimization and regime-constrained weight bands, contributing to the literature on implementation frictions (Frazzini, Israel, and Moskowitz, 2015; Novy-Marx and Velikov, 2016). Sections I through IX cover data, methodology, regime characterization, baseline results, implementation variants, FI expansion, robustness, discussion, and conclusion in turn.</w:t>
      </w:r>
    </w:p>
    <w:p w14:paraId="2536B497" w14:textId="77777777" w:rsidR="007A2869" w:rsidRDefault="007A2869">
      <w:pPr>
        <w:spacing w:line="480" w:lineRule="auto"/>
      </w:pPr>
    </w:p>
    <w:p w14:paraId="07CC8273" w14:textId="77777777" w:rsidR="00DC0ADB" w:rsidRDefault="00DC0ADB">
      <w:r>
        <w:br w:type="page"/>
      </w:r>
    </w:p>
    <w:p w14:paraId="2536B498" w14:textId="22112BDD" w:rsidR="007A2869" w:rsidRDefault="00000000">
      <w:pPr>
        <w:spacing w:before="480" w:after="240" w:line="480" w:lineRule="auto"/>
        <w:jc w:val="center"/>
      </w:pPr>
      <w:r>
        <w:lastRenderedPageBreak/>
        <w:t>I. DATA</w:t>
      </w:r>
    </w:p>
    <w:p w14:paraId="2536B499" w14:textId="77777777" w:rsidR="007A2869" w:rsidRDefault="00000000">
      <w:pPr>
        <w:spacing w:before="240" w:after="120" w:line="480" w:lineRule="auto"/>
      </w:pPr>
      <w:r>
        <w:rPr>
          <w:i/>
          <w:iCs/>
        </w:rPr>
        <w:t>A. Asset Universe</w:t>
      </w:r>
    </w:p>
    <w:p w14:paraId="2536B49A" w14:textId="77777777" w:rsidR="007A2869" w:rsidRDefault="00000000">
      <w:pPr>
        <w:spacing w:line="480" w:lineRule="auto"/>
        <w:ind w:firstLine="720"/>
        <w:jc w:val="both"/>
      </w:pPr>
      <w:r>
        <w:t>The baseline investable universe consists of ten risky assets and one risk-free rate, all denominated in or converted to euros. The risky universe spans European equities (six indices: CAC 40, DAX, EuroStoxx 50, FTSE MIB, IBEX 35, and STOXX Europe 600), listed real estate (FTSE EPRA/NAREIT Europe), broad commodities (Bloomberg Commodity Index), energy (Brent crude oil front-month futures), and precious metals (gold spot, EUR-converted from USD). The risk-free instrument is the EURIBOR 3-month rate, used as the cash return benchmark and excluded from the risky portfolio optimization.</w:t>
      </w:r>
    </w:p>
    <w:p w14:paraId="2536B49B" w14:textId="77777777" w:rsidR="007A2869" w:rsidRDefault="007A2869">
      <w:pPr>
        <w:spacing w:line="480" w:lineRule="auto"/>
      </w:pPr>
    </w:p>
    <w:p w14:paraId="2536B49C" w14:textId="77777777" w:rsidR="007A2869" w:rsidRDefault="00000000">
      <w:pPr>
        <w:spacing w:line="480" w:lineRule="auto"/>
        <w:ind w:firstLine="720"/>
        <w:jc w:val="both"/>
      </w:pPr>
      <w:r>
        <w:t>Most series are total-return indices sourced from LSEG Workspace (Refinitiv). Exceptions: Brent is a front-month futures price (RIC: LCOc1) without a dividend component; gold is a USD spot price (XAU=) converted at weekly prevailing FX rates; and EURIBOR 3M (EUR3MD=, sourced from the ECB) is a rate series converted to a weekly simple return via (1 + r_ann)^(1/52) - 1. Table I summarizes the universe.</w:t>
      </w:r>
    </w:p>
    <w:p w14:paraId="2536B49D" w14:textId="77777777" w:rsidR="007A2869" w:rsidRDefault="007A2869">
      <w:pPr>
        <w:spacing w:line="480" w:lineRule="auto"/>
      </w:pPr>
    </w:p>
    <w:p w14:paraId="7DFFAB2C" w14:textId="77777777" w:rsidR="00DC0ADB" w:rsidRDefault="00DC0ADB">
      <w:pPr>
        <w:rPr>
          <w:b/>
          <w:bCs/>
          <w:sz w:val="22"/>
          <w:szCs w:val="22"/>
        </w:rPr>
      </w:pPr>
      <w:r>
        <w:rPr>
          <w:b/>
          <w:bCs/>
          <w:sz w:val="22"/>
          <w:szCs w:val="22"/>
        </w:rPr>
        <w:br w:type="page"/>
      </w:r>
    </w:p>
    <w:p w14:paraId="2536B49E" w14:textId="4BB51BFE" w:rsidR="007A2869" w:rsidRDefault="00000000">
      <w:pPr>
        <w:keepNext/>
        <w:spacing w:before="480" w:line="300" w:lineRule="auto"/>
      </w:pPr>
      <w:r>
        <w:rPr>
          <w:b/>
          <w:bCs/>
          <w:sz w:val="22"/>
          <w:szCs w:val="22"/>
        </w:rPr>
        <w:lastRenderedPageBreak/>
        <w:t>TABLE I</w:t>
      </w:r>
    </w:p>
    <w:p w14:paraId="2536B49F" w14:textId="77777777" w:rsidR="007A2869" w:rsidRDefault="00000000">
      <w:pPr>
        <w:keepNext/>
        <w:spacing w:after="60" w:line="300" w:lineRule="auto"/>
      </w:pPr>
      <w:r>
        <w:rPr>
          <w:sz w:val="22"/>
          <w:szCs w:val="22"/>
        </w:rPr>
        <w:t>Asset Universe</w:t>
      </w:r>
    </w:p>
    <w:p w14:paraId="2536B4A0" w14:textId="77777777" w:rsidR="007A2869" w:rsidRDefault="00000000">
      <w:pPr>
        <w:keepNext/>
        <w:spacing w:before="60" w:after="120" w:line="276" w:lineRule="auto"/>
      </w:pPr>
      <w:r>
        <w:rPr>
          <w:sz w:val="18"/>
          <w:szCs w:val="18"/>
        </w:rPr>
        <w:t>The table reports the 11-asset baseline investable universe. RICs are LSEG Workspace identifiers. All return series are denominated in EUR. TR = total return index. Brent crude oil and gold are price series, not total-return indices; Brent is a front-month futures price and gold is a USD spot price converted at weekly FX rates. EURIBOR 3M is excluded from the optimized risky portfolio. A 14-asset FI-expanded universe adds Germany, Spain, and Italy government bond TR indices from FTSE Russell. The Italy series (RIC .FTIT_TSYUSDT) is delivered in EUR via LSEG currency conversion; no native EUR RIC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1889"/>
        <w:gridCol w:w="1355"/>
        <w:gridCol w:w="3507"/>
      </w:tblGrid>
      <w:tr w:rsidR="007A2869" w14:paraId="2536B4A5" w14:textId="77777777" w:rsidTr="00DC0ADB">
        <w:tblPrEx>
          <w:tblCellMar>
            <w:top w:w="0" w:type="dxa"/>
            <w:bottom w:w="0" w:type="dxa"/>
          </w:tblCellMar>
        </w:tblPrEx>
        <w:trPr>
          <w:tblHeader/>
        </w:trPr>
        <w:tc>
          <w:tcPr>
            <w:tcW w:w="261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4A1" w14:textId="77777777" w:rsidR="007A2869" w:rsidRDefault="00000000">
            <w:r>
              <w:rPr>
                <w:b/>
                <w:bCs/>
                <w:sz w:val="20"/>
                <w:szCs w:val="20"/>
              </w:rPr>
              <w:t>Asset</w:t>
            </w:r>
          </w:p>
        </w:tc>
        <w:tc>
          <w:tcPr>
            <w:tcW w:w="189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4A2" w14:textId="77777777" w:rsidR="007A2869" w:rsidRDefault="00000000">
            <w:r>
              <w:rPr>
                <w:b/>
                <w:bCs/>
                <w:sz w:val="20"/>
                <w:szCs w:val="20"/>
              </w:rPr>
              <w:t>Type</w:t>
            </w:r>
          </w:p>
        </w:tc>
        <w:tc>
          <w:tcPr>
            <w:tcW w:w="135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4A3" w14:textId="77777777" w:rsidR="007A2869" w:rsidRDefault="00000000">
            <w:r>
              <w:rPr>
                <w:b/>
                <w:bCs/>
                <w:sz w:val="20"/>
                <w:szCs w:val="20"/>
              </w:rPr>
              <w:t>RIC</w:t>
            </w:r>
          </w:p>
        </w:tc>
        <w:tc>
          <w:tcPr>
            <w:tcW w:w="351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4A4" w14:textId="77777777" w:rsidR="007A2869" w:rsidRDefault="00000000">
            <w:r>
              <w:rPr>
                <w:b/>
                <w:bCs/>
                <w:sz w:val="20"/>
                <w:szCs w:val="20"/>
              </w:rPr>
              <w:t>Notes</w:t>
            </w:r>
          </w:p>
        </w:tc>
      </w:tr>
      <w:tr w:rsidR="007A2869" w14:paraId="2536B4AA" w14:textId="77777777" w:rsidTr="00DC0ADB">
        <w:tblPrEx>
          <w:tblCellMar>
            <w:top w:w="0" w:type="dxa"/>
            <w:bottom w:w="0" w:type="dxa"/>
          </w:tblCellMar>
        </w:tblPrEx>
        <w:tc>
          <w:tcPr>
            <w:tcW w:w="2610" w:type="dxa"/>
            <w:tcBorders>
              <w:top w:val="nil"/>
              <w:left w:val="nil"/>
              <w:bottom w:val="nil"/>
              <w:right w:val="nil"/>
            </w:tcBorders>
            <w:tcMar>
              <w:top w:w="60" w:type="dxa"/>
              <w:left w:w="80" w:type="dxa"/>
              <w:bottom w:w="60" w:type="dxa"/>
              <w:right w:w="80" w:type="dxa"/>
            </w:tcMar>
            <w:vAlign w:val="center"/>
          </w:tcPr>
          <w:p w14:paraId="2536B4A6" w14:textId="77777777" w:rsidR="007A2869" w:rsidRDefault="00000000">
            <w:r>
              <w:rPr>
                <w:sz w:val="20"/>
                <w:szCs w:val="20"/>
              </w:rPr>
              <w:t>EURIBOR 3M</w:t>
            </w:r>
          </w:p>
        </w:tc>
        <w:tc>
          <w:tcPr>
            <w:tcW w:w="1890" w:type="dxa"/>
            <w:tcBorders>
              <w:top w:val="nil"/>
              <w:left w:val="nil"/>
              <w:bottom w:val="nil"/>
              <w:right w:val="nil"/>
            </w:tcBorders>
            <w:tcMar>
              <w:top w:w="60" w:type="dxa"/>
              <w:left w:w="80" w:type="dxa"/>
              <w:bottom w:w="60" w:type="dxa"/>
              <w:right w:w="80" w:type="dxa"/>
            </w:tcMar>
            <w:vAlign w:val="center"/>
          </w:tcPr>
          <w:p w14:paraId="2536B4A7" w14:textId="77777777" w:rsidR="007A2869" w:rsidRDefault="00000000">
            <w:r>
              <w:rPr>
                <w:sz w:val="20"/>
                <w:szCs w:val="20"/>
              </w:rPr>
              <w:t>Risk-free proxy</w:t>
            </w:r>
          </w:p>
        </w:tc>
        <w:tc>
          <w:tcPr>
            <w:tcW w:w="1350" w:type="dxa"/>
            <w:tcBorders>
              <w:top w:val="nil"/>
              <w:left w:val="nil"/>
              <w:bottom w:val="nil"/>
              <w:right w:val="nil"/>
            </w:tcBorders>
            <w:tcMar>
              <w:top w:w="60" w:type="dxa"/>
              <w:left w:w="80" w:type="dxa"/>
              <w:bottom w:w="60" w:type="dxa"/>
              <w:right w:w="80" w:type="dxa"/>
            </w:tcMar>
            <w:vAlign w:val="center"/>
          </w:tcPr>
          <w:p w14:paraId="2536B4A8" w14:textId="77777777" w:rsidR="007A2869" w:rsidRDefault="00000000">
            <w:r>
              <w:rPr>
                <w:sz w:val="20"/>
                <w:szCs w:val="20"/>
              </w:rPr>
              <w:t>EUR3MD=</w:t>
            </w:r>
          </w:p>
        </w:tc>
        <w:tc>
          <w:tcPr>
            <w:tcW w:w="3510" w:type="dxa"/>
            <w:tcBorders>
              <w:top w:val="nil"/>
              <w:left w:val="nil"/>
              <w:bottom w:val="nil"/>
              <w:right w:val="nil"/>
            </w:tcBorders>
            <w:tcMar>
              <w:top w:w="60" w:type="dxa"/>
              <w:left w:w="80" w:type="dxa"/>
              <w:bottom w:w="60" w:type="dxa"/>
              <w:right w:w="80" w:type="dxa"/>
            </w:tcMar>
            <w:vAlign w:val="center"/>
          </w:tcPr>
          <w:p w14:paraId="2536B4A9" w14:textId="77777777" w:rsidR="007A2869" w:rsidRDefault="00000000">
            <w:r>
              <w:rPr>
                <w:sz w:val="20"/>
                <w:szCs w:val="20"/>
              </w:rPr>
              <w:t>Rate; weekly simple return; excluded from optimization</w:t>
            </w:r>
          </w:p>
        </w:tc>
      </w:tr>
      <w:tr w:rsidR="007A2869" w14:paraId="2536B4AF" w14:textId="77777777" w:rsidTr="00DC0ADB">
        <w:tblPrEx>
          <w:tblCellMar>
            <w:top w:w="0" w:type="dxa"/>
            <w:bottom w:w="0" w:type="dxa"/>
          </w:tblCellMar>
        </w:tblPrEx>
        <w:tc>
          <w:tcPr>
            <w:tcW w:w="2610" w:type="dxa"/>
            <w:tcBorders>
              <w:top w:val="nil"/>
              <w:left w:val="nil"/>
              <w:bottom w:val="nil"/>
              <w:right w:val="nil"/>
            </w:tcBorders>
            <w:tcMar>
              <w:top w:w="60" w:type="dxa"/>
              <w:left w:w="80" w:type="dxa"/>
              <w:bottom w:w="60" w:type="dxa"/>
              <w:right w:w="80" w:type="dxa"/>
            </w:tcMar>
            <w:vAlign w:val="center"/>
          </w:tcPr>
          <w:p w14:paraId="2536B4AB" w14:textId="77777777" w:rsidR="007A2869" w:rsidRDefault="00000000">
            <w:r>
              <w:rPr>
                <w:sz w:val="20"/>
                <w:szCs w:val="20"/>
              </w:rPr>
              <w:t>Bloomberg Commodity</w:t>
            </w:r>
          </w:p>
        </w:tc>
        <w:tc>
          <w:tcPr>
            <w:tcW w:w="1890" w:type="dxa"/>
            <w:tcBorders>
              <w:top w:val="nil"/>
              <w:left w:val="nil"/>
              <w:bottom w:val="nil"/>
              <w:right w:val="nil"/>
            </w:tcBorders>
            <w:tcMar>
              <w:top w:w="60" w:type="dxa"/>
              <w:left w:w="80" w:type="dxa"/>
              <w:bottom w:w="60" w:type="dxa"/>
              <w:right w:w="80" w:type="dxa"/>
            </w:tcMar>
            <w:vAlign w:val="center"/>
          </w:tcPr>
          <w:p w14:paraId="2536B4AC" w14:textId="77777777" w:rsidR="007A2869" w:rsidRDefault="00000000">
            <w:r>
              <w:rPr>
                <w:sz w:val="20"/>
                <w:szCs w:val="20"/>
              </w:rPr>
              <w:t>Commodity (broad)</w:t>
            </w:r>
          </w:p>
        </w:tc>
        <w:tc>
          <w:tcPr>
            <w:tcW w:w="1350" w:type="dxa"/>
            <w:tcBorders>
              <w:top w:val="nil"/>
              <w:left w:val="nil"/>
              <w:bottom w:val="nil"/>
              <w:right w:val="nil"/>
            </w:tcBorders>
            <w:tcMar>
              <w:top w:w="60" w:type="dxa"/>
              <w:left w:w="80" w:type="dxa"/>
              <w:bottom w:w="60" w:type="dxa"/>
              <w:right w:w="80" w:type="dxa"/>
            </w:tcMar>
            <w:vAlign w:val="center"/>
          </w:tcPr>
          <w:p w14:paraId="2536B4AD" w14:textId="77777777" w:rsidR="007A2869" w:rsidRDefault="00000000">
            <w:r>
              <w:rPr>
                <w:sz w:val="20"/>
                <w:szCs w:val="20"/>
              </w:rPr>
              <w:t>BCOM</w:t>
            </w:r>
          </w:p>
        </w:tc>
        <w:tc>
          <w:tcPr>
            <w:tcW w:w="3510" w:type="dxa"/>
            <w:tcBorders>
              <w:top w:val="nil"/>
              <w:left w:val="nil"/>
              <w:bottom w:val="nil"/>
              <w:right w:val="nil"/>
            </w:tcBorders>
            <w:tcMar>
              <w:top w:w="60" w:type="dxa"/>
              <w:left w:w="80" w:type="dxa"/>
              <w:bottom w:w="60" w:type="dxa"/>
              <w:right w:w="80" w:type="dxa"/>
            </w:tcMar>
            <w:vAlign w:val="center"/>
          </w:tcPr>
          <w:p w14:paraId="2536B4AE" w14:textId="77777777" w:rsidR="007A2869" w:rsidRDefault="00000000">
            <w:r>
              <w:rPr>
                <w:sz w:val="20"/>
                <w:szCs w:val="20"/>
              </w:rPr>
              <w:t>Total return index</w:t>
            </w:r>
          </w:p>
        </w:tc>
      </w:tr>
      <w:tr w:rsidR="007A2869" w14:paraId="2536B4B4" w14:textId="77777777" w:rsidTr="00DC0ADB">
        <w:tblPrEx>
          <w:tblCellMar>
            <w:top w:w="0" w:type="dxa"/>
            <w:bottom w:w="0" w:type="dxa"/>
          </w:tblCellMar>
        </w:tblPrEx>
        <w:tc>
          <w:tcPr>
            <w:tcW w:w="2610" w:type="dxa"/>
            <w:tcBorders>
              <w:top w:val="nil"/>
              <w:left w:val="nil"/>
              <w:bottom w:val="nil"/>
              <w:right w:val="nil"/>
            </w:tcBorders>
            <w:tcMar>
              <w:top w:w="60" w:type="dxa"/>
              <w:left w:w="80" w:type="dxa"/>
              <w:bottom w:w="60" w:type="dxa"/>
              <w:right w:w="80" w:type="dxa"/>
            </w:tcMar>
            <w:vAlign w:val="center"/>
          </w:tcPr>
          <w:p w14:paraId="2536B4B0" w14:textId="77777777" w:rsidR="007A2869" w:rsidRDefault="00000000">
            <w:r>
              <w:rPr>
                <w:sz w:val="20"/>
                <w:szCs w:val="20"/>
              </w:rPr>
              <w:t>Brent Crude Oil</w:t>
            </w:r>
          </w:p>
        </w:tc>
        <w:tc>
          <w:tcPr>
            <w:tcW w:w="1890" w:type="dxa"/>
            <w:tcBorders>
              <w:top w:val="nil"/>
              <w:left w:val="nil"/>
              <w:bottom w:val="nil"/>
              <w:right w:val="nil"/>
            </w:tcBorders>
            <w:tcMar>
              <w:top w:w="60" w:type="dxa"/>
              <w:left w:w="80" w:type="dxa"/>
              <w:bottom w:w="60" w:type="dxa"/>
              <w:right w:w="80" w:type="dxa"/>
            </w:tcMar>
            <w:vAlign w:val="center"/>
          </w:tcPr>
          <w:p w14:paraId="2536B4B1" w14:textId="77777777" w:rsidR="007A2869" w:rsidRDefault="00000000">
            <w:r>
              <w:rPr>
                <w:sz w:val="20"/>
                <w:szCs w:val="20"/>
              </w:rPr>
              <w:t>Energy</w:t>
            </w:r>
          </w:p>
        </w:tc>
        <w:tc>
          <w:tcPr>
            <w:tcW w:w="1350" w:type="dxa"/>
            <w:tcBorders>
              <w:top w:val="nil"/>
              <w:left w:val="nil"/>
              <w:bottom w:val="nil"/>
              <w:right w:val="nil"/>
            </w:tcBorders>
            <w:tcMar>
              <w:top w:w="60" w:type="dxa"/>
              <w:left w:w="80" w:type="dxa"/>
              <w:bottom w:w="60" w:type="dxa"/>
              <w:right w:w="80" w:type="dxa"/>
            </w:tcMar>
            <w:vAlign w:val="center"/>
          </w:tcPr>
          <w:p w14:paraId="2536B4B2" w14:textId="77777777" w:rsidR="007A2869" w:rsidRDefault="00000000">
            <w:r>
              <w:rPr>
                <w:sz w:val="20"/>
                <w:szCs w:val="20"/>
              </w:rPr>
              <w:t>LCOc1</w:t>
            </w:r>
          </w:p>
        </w:tc>
        <w:tc>
          <w:tcPr>
            <w:tcW w:w="3510" w:type="dxa"/>
            <w:tcBorders>
              <w:top w:val="nil"/>
              <w:left w:val="nil"/>
              <w:bottom w:val="nil"/>
              <w:right w:val="nil"/>
            </w:tcBorders>
            <w:tcMar>
              <w:top w:w="60" w:type="dxa"/>
              <w:left w:w="80" w:type="dxa"/>
              <w:bottom w:w="60" w:type="dxa"/>
              <w:right w:w="80" w:type="dxa"/>
            </w:tcMar>
            <w:vAlign w:val="center"/>
          </w:tcPr>
          <w:p w14:paraId="2536B4B3" w14:textId="77777777" w:rsidR="007A2869" w:rsidRDefault="00000000">
            <w:r>
              <w:rPr>
                <w:sz w:val="20"/>
                <w:szCs w:val="20"/>
              </w:rPr>
              <w:t>Front-month futures price</w:t>
            </w:r>
          </w:p>
        </w:tc>
      </w:tr>
      <w:tr w:rsidR="007A2869" w14:paraId="2536B4B9" w14:textId="77777777" w:rsidTr="00DC0ADB">
        <w:tblPrEx>
          <w:tblCellMar>
            <w:top w:w="0" w:type="dxa"/>
            <w:bottom w:w="0" w:type="dxa"/>
          </w:tblCellMar>
        </w:tblPrEx>
        <w:tc>
          <w:tcPr>
            <w:tcW w:w="2610" w:type="dxa"/>
            <w:tcBorders>
              <w:top w:val="nil"/>
              <w:left w:val="nil"/>
              <w:bottom w:val="nil"/>
              <w:right w:val="nil"/>
            </w:tcBorders>
            <w:tcMar>
              <w:top w:w="60" w:type="dxa"/>
              <w:left w:w="80" w:type="dxa"/>
              <w:bottom w:w="60" w:type="dxa"/>
              <w:right w:w="80" w:type="dxa"/>
            </w:tcMar>
            <w:vAlign w:val="center"/>
          </w:tcPr>
          <w:p w14:paraId="2536B4B5" w14:textId="77777777" w:rsidR="007A2869" w:rsidRDefault="00000000">
            <w:r>
              <w:rPr>
                <w:sz w:val="20"/>
                <w:szCs w:val="20"/>
              </w:rPr>
              <w:t>Gold</w:t>
            </w:r>
          </w:p>
        </w:tc>
        <w:tc>
          <w:tcPr>
            <w:tcW w:w="1890" w:type="dxa"/>
            <w:tcBorders>
              <w:top w:val="nil"/>
              <w:left w:val="nil"/>
              <w:bottom w:val="nil"/>
              <w:right w:val="nil"/>
            </w:tcBorders>
            <w:tcMar>
              <w:top w:w="60" w:type="dxa"/>
              <w:left w:w="80" w:type="dxa"/>
              <w:bottom w:w="60" w:type="dxa"/>
              <w:right w:w="80" w:type="dxa"/>
            </w:tcMar>
            <w:vAlign w:val="center"/>
          </w:tcPr>
          <w:p w14:paraId="2536B4B6" w14:textId="77777777" w:rsidR="007A2869" w:rsidRDefault="00000000">
            <w:r>
              <w:rPr>
                <w:sz w:val="20"/>
                <w:szCs w:val="20"/>
              </w:rPr>
              <w:t>Precious metals</w:t>
            </w:r>
          </w:p>
        </w:tc>
        <w:tc>
          <w:tcPr>
            <w:tcW w:w="1350" w:type="dxa"/>
            <w:tcBorders>
              <w:top w:val="nil"/>
              <w:left w:val="nil"/>
              <w:bottom w:val="nil"/>
              <w:right w:val="nil"/>
            </w:tcBorders>
            <w:tcMar>
              <w:top w:w="60" w:type="dxa"/>
              <w:left w:w="80" w:type="dxa"/>
              <w:bottom w:w="60" w:type="dxa"/>
              <w:right w:w="80" w:type="dxa"/>
            </w:tcMar>
            <w:vAlign w:val="center"/>
          </w:tcPr>
          <w:p w14:paraId="2536B4B7" w14:textId="77777777" w:rsidR="007A2869" w:rsidRDefault="00000000">
            <w:r>
              <w:rPr>
                <w:sz w:val="20"/>
                <w:szCs w:val="20"/>
              </w:rPr>
              <w:t>XAU=</w:t>
            </w:r>
          </w:p>
        </w:tc>
        <w:tc>
          <w:tcPr>
            <w:tcW w:w="3510" w:type="dxa"/>
            <w:tcBorders>
              <w:top w:val="nil"/>
              <w:left w:val="nil"/>
              <w:bottom w:val="nil"/>
              <w:right w:val="nil"/>
            </w:tcBorders>
            <w:tcMar>
              <w:top w:w="60" w:type="dxa"/>
              <w:left w:w="80" w:type="dxa"/>
              <w:bottom w:w="60" w:type="dxa"/>
              <w:right w:w="80" w:type="dxa"/>
            </w:tcMar>
            <w:vAlign w:val="center"/>
          </w:tcPr>
          <w:p w14:paraId="2536B4B8" w14:textId="77777777" w:rsidR="007A2869" w:rsidRDefault="00000000">
            <w:r>
              <w:rPr>
                <w:sz w:val="20"/>
                <w:szCs w:val="20"/>
              </w:rPr>
              <w:t>USD spot; EUR-converted at weekly FX</w:t>
            </w:r>
          </w:p>
        </w:tc>
      </w:tr>
      <w:tr w:rsidR="007A2869" w14:paraId="2536B4BE" w14:textId="77777777" w:rsidTr="00DC0ADB">
        <w:tblPrEx>
          <w:tblCellMar>
            <w:top w:w="0" w:type="dxa"/>
            <w:bottom w:w="0" w:type="dxa"/>
          </w:tblCellMar>
        </w:tblPrEx>
        <w:tc>
          <w:tcPr>
            <w:tcW w:w="2610" w:type="dxa"/>
            <w:tcBorders>
              <w:top w:val="nil"/>
              <w:left w:val="nil"/>
              <w:bottom w:val="nil"/>
              <w:right w:val="nil"/>
            </w:tcBorders>
            <w:tcMar>
              <w:top w:w="60" w:type="dxa"/>
              <w:left w:w="80" w:type="dxa"/>
              <w:bottom w:w="60" w:type="dxa"/>
              <w:right w:w="80" w:type="dxa"/>
            </w:tcMar>
            <w:vAlign w:val="center"/>
          </w:tcPr>
          <w:p w14:paraId="2536B4BA" w14:textId="77777777" w:rsidR="007A2869" w:rsidRDefault="00000000">
            <w:r>
              <w:rPr>
                <w:sz w:val="20"/>
                <w:szCs w:val="20"/>
              </w:rPr>
              <w:t>CAC 40</w:t>
            </w:r>
          </w:p>
        </w:tc>
        <w:tc>
          <w:tcPr>
            <w:tcW w:w="1890" w:type="dxa"/>
            <w:tcBorders>
              <w:top w:val="nil"/>
              <w:left w:val="nil"/>
              <w:bottom w:val="nil"/>
              <w:right w:val="nil"/>
            </w:tcBorders>
            <w:tcMar>
              <w:top w:w="60" w:type="dxa"/>
              <w:left w:w="80" w:type="dxa"/>
              <w:bottom w:w="60" w:type="dxa"/>
              <w:right w:w="80" w:type="dxa"/>
            </w:tcMar>
            <w:vAlign w:val="center"/>
          </w:tcPr>
          <w:p w14:paraId="2536B4BB" w14:textId="77777777" w:rsidR="007A2869" w:rsidRDefault="00000000">
            <w:r>
              <w:rPr>
                <w:sz w:val="20"/>
                <w:szCs w:val="20"/>
              </w:rPr>
              <w:t>Equity (FR)</w:t>
            </w:r>
          </w:p>
        </w:tc>
        <w:tc>
          <w:tcPr>
            <w:tcW w:w="1350" w:type="dxa"/>
            <w:tcBorders>
              <w:top w:val="nil"/>
              <w:left w:val="nil"/>
              <w:bottom w:val="nil"/>
              <w:right w:val="nil"/>
            </w:tcBorders>
            <w:tcMar>
              <w:top w:w="60" w:type="dxa"/>
              <w:left w:w="80" w:type="dxa"/>
              <w:bottom w:w="60" w:type="dxa"/>
              <w:right w:w="80" w:type="dxa"/>
            </w:tcMar>
            <w:vAlign w:val="center"/>
          </w:tcPr>
          <w:p w14:paraId="2536B4BC" w14:textId="77777777" w:rsidR="007A2869" w:rsidRDefault="00000000">
            <w:r>
              <w:rPr>
                <w:sz w:val="20"/>
                <w:szCs w:val="20"/>
              </w:rPr>
              <w:t>.FCHI</w:t>
            </w:r>
          </w:p>
        </w:tc>
        <w:tc>
          <w:tcPr>
            <w:tcW w:w="3510" w:type="dxa"/>
            <w:tcBorders>
              <w:top w:val="nil"/>
              <w:left w:val="nil"/>
              <w:bottom w:val="nil"/>
              <w:right w:val="nil"/>
            </w:tcBorders>
            <w:tcMar>
              <w:top w:w="60" w:type="dxa"/>
              <w:left w:w="80" w:type="dxa"/>
              <w:bottom w:w="60" w:type="dxa"/>
              <w:right w:w="80" w:type="dxa"/>
            </w:tcMar>
            <w:vAlign w:val="center"/>
          </w:tcPr>
          <w:p w14:paraId="2536B4BD" w14:textId="77777777" w:rsidR="007A2869" w:rsidRDefault="00000000">
            <w:r>
              <w:rPr>
                <w:sz w:val="20"/>
                <w:szCs w:val="20"/>
              </w:rPr>
              <w:t>Total return</w:t>
            </w:r>
          </w:p>
        </w:tc>
      </w:tr>
      <w:tr w:rsidR="007A2869" w14:paraId="2536B4C3" w14:textId="77777777" w:rsidTr="00DC0ADB">
        <w:tblPrEx>
          <w:tblCellMar>
            <w:top w:w="0" w:type="dxa"/>
            <w:bottom w:w="0" w:type="dxa"/>
          </w:tblCellMar>
        </w:tblPrEx>
        <w:tc>
          <w:tcPr>
            <w:tcW w:w="2610" w:type="dxa"/>
            <w:tcBorders>
              <w:top w:val="nil"/>
              <w:left w:val="nil"/>
              <w:bottom w:val="nil"/>
              <w:right w:val="nil"/>
            </w:tcBorders>
            <w:tcMar>
              <w:top w:w="60" w:type="dxa"/>
              <w:left w:w="80" w:type="dxa"/>
              <w:bottom w:w="60" w:type="dxa"/>
              <w:right w:w="80" w:type="dxa"/>
            </w:tcMar>
            <w:vAlign w:val="center"/>
          </w:tcPr>
          <w:p w14:paraId="2536B4BF" w14:textId="77777777" w:rsidR="007A2869" w:rsidRDefault="00000000">
            <w:r>
              <w:rPr>
                <w:sz w:val="20"/>
                <w:szCs w:val="20"/>
              </w:rPr>
              <w:t>DAX</w:t>
            </w:r>
          </w:p>
        </w:tc>
        <w:tc>
          <w:tcPr>
            <w:tcW w:w="1890" w:type="dxa"/>
            <w:tcBorders>
              <w:top w:val="nil"/>
              <w:left w:val="nil"/>
              <w:bottom w:val="nil"/>
              <w:right w:val="nil"/>
            </w:tcBorders>
            <w:tcMar>
              <w:top w:w="60" w:type="dxa"/>
              <w:left w:w="80" w:type="dxa"/>
              <w:bottom w:w="60" w:type="dxa"/>
              <w:right w:w="80" w:type="dxa"/>
            </w:tcMar>
            <w:vAlign w:val="center"/>
          </w:tcPr>
          <w:p w14:paraId="2536B4C0" w14:textId="77777777" w:rsidR="007A2869" w:rsidRDefault="00000000">
            <w:r>
              <w:rPr>
                <w:sz w:val="20"/>
                <w:szCs w:val="20"/>
              </w:rPr>
              <w:t>Equity (DE)</w:t>
            </w:r>
          </w:p>
        </w:tc>
        <w:tc>
          <w:tcPr>
            <w:tcW w:w="1350" w:type="dxa"/>
            <w:tcBorders>
              <w:top w:val="nil"/>
              <w:left w:val="nil"/>
              <w:bottom w:val="nil"/>
              <w:right w:val="nil"/>
            </w:tcBorders>
            <w:tcMar>
              <w:top w:w="60" w:type="dxa"/>
              <w:left w:w="80" w:type="dxa"/>
              <w:bottom w:w="60" w:type="dxa"/>
              <w:right w:w="80" w:type="dxa"/>
            </w:tcMar>
            <w:vAlign w:val="center"/>
          </w:tcPr>
          <w:p w14:paraId="2536B4C1" w14:textId="77777777" w:rsidR="007A2869" w:rsidRDefault="00000000">
            <w:r>
              <w:rPr>
                <w:sz w:val="20"/>
                <w:szCs w:val="20"/>
              </w:rPr>
              <w:t>.GDAXI</w:t>
            </w:r>
          </w:p>
        </w:tc>
        <w:tc>
          <w:tcPr>
            <w:tcW w:w="3510" w:type="dxa"/>
            <w:tcBorders>
              <w:top w:val="nil"/>
              <w:left w:val="nil"/>
              <w:bottom w:val="nil"/>
              <w:right w:val="nil"/>
            </w:tcBorders>
            <w:tcMar>
              <w:top w:w="60" w:type="dxa"/>
              <w:left w:w="80" w:type="dxa"/>
              <w:bottom w:w="60" w:type="dxa"/>
              <w:right w:w="80" w:type="dxa"/>
            </w:tcMar>
            <w:vAlign w:val="center"/>
          </w:tcPr>
          <w:p w14:paraId="2536B4C2" w14:textId="77777777" w:rsidR="007A2869" w:rsidRDefault="00000000">
            <w:r>
              <w:rPr>
                <w:sz w:val="20"/>
                <w:szCs w:val="20"/>
              </w:rPr>
              <w:t>Total return</w:t>
            </w:r>
          </w:p>
        </w:tc>
      </w:tr>
      <w:tr w:rsidR="007A2869" w14:paraId="2536B4C8" w14:textId="77777777" w:rsidTr="00DC0ADB">
        <w:tblPrEx>
          <w:tblCellMar>
            <w:top w:w="0" w:type="dxa"/>
            <w:bottom w:w="0" w:type="dxa"/>
          </w:tblCellMar>
        </w:tblPrEx>
        <w:tc>
          <w:tcPr>
            <w:tcW w:w="2610" w:type="dxa"/>
            <w:tcBorders>
              <w:top w:val="nil"/>
              <w:left w:val="nil"/>
              <w:bottom w:val="nil"/>
              <w:right w:val="nil"/>
            </w:tcBorders>
            <w:tcMar>
              <w:top w:w="60" w:type="dxa"/>
              <w:left w:w="80" w:type="dxa"/>
              <w:bottom w:w="60" w:type="dxa"/>
              <w:right w:w="80" w:type="dxa"/>
            </w:tcMar>
            <w:vAlign w:val="center"/>
          </w:tcPr>
          <w:p w14:paraId="2536B4C4" w14:textId="77777777" w:rsidR="007A2869" w:rsidRDefault="00000000">
            <w:r>
              <w:rPr>
                <w:sz w:val="20"/>
                <w:szCs w:val="20"/>
              </w:rPr>
              <w:t>EuroStoxx 50</w:t>
            </w:r>
          </w:p>
        </w:tc>
        <w:tc>
          <w:tcPr>
            <w:tcW w:w="1890" w:type="dxa"/>
            <w:tcBorders>
              <w:top w:val="nil"/>
              <w:left w:val="nil"/>
              <w:bottom w:val="nil"/>
              <w:right w:val="nil"/>
            </w:tcBorders>
            <w:tcMar>
              <w:top w:w="60" w:type="dxa"/>
              <w:left w:w="80" w:type="dxa"/>
              <w:bottom w:w="60" w:type="dxa"/>
              <w:right w:w="80" w:type="dxa"/>
            </w:tcMar>
            <w:vAlign w:val="center"/>
          </w:tcPr>
          <w:p w14:paraId="2536B4C5" w14:textId="77777777" w:rsidR="007A2869" w:rsidRDefault="00000000">
            <w:r>
              <w:rPr>
                <w:sz w:val="20"/>
                <w:szCs w:val="20"/>
              </w:rPr>
              <w:t>Equity (Eurozone)</w:t>
            </w:r>
          </w:p>
        </w:tc>
        <w:tc>
          <w:tcPr>
            <w:tcW w:w="1350" w:type="dxa"/>
            <w:tcBorders>
              <w:top w:val="nil"/>
              <w:left w:val="nil"/>
              <w:bottom w:val="nil"/>
              <w:right w:val="nil"/>
            </w:tcBorders>
            <w:tcMar>
              <w:top w:w="60" w:type="dxa"/>
              <w:left w:w="80" w:type="dxa"/>
              <w:bottom w:w="60" w:type="dxa"/>
              <w:right w:w="80" w:type="dxa"/>
            </w:tcMar>
            <w:vAlign w:val="center"/>
          </w:tcPr>
          <w:p w14:paraId="2536B4C6" w14:textId="77777777" w:rsidR="007A2869" w:rsidRDefault="00000000">
            <w:r>
              <w:rPr>
                <w:sz w:val="20"/>
                <w:szCs w:val="20"/>
              </w:rPr>
              <w:t>.STOXX50E</w:t>
            </w:r>
          </w:p>
        </w:tc>
        <w:tc>
          <w:tcPr>
            <w:tcW w:w="3510" w:type="dxa"/>
            <w:tcBorders>
              <w:top w:val="nil"/>
              <w:left w:val="nil"/>
              <w:bottom w:val="nil"/>
              <w:right w:val="nil"/>
            </w:tcBorders>
            <w:tcMar>
              <w:top w:w="60" w:type="dxa"/>
              <w:left w:w="80" w:type="dxa"/>
              <w:bottom w:w="60" w:type="dxa"/>
              <w:right w:w="80" w:type="dxa"/>
            </w:tcMar>
            <w:vAlign w:val="center"/>
          </w:tcPr>
          <w:p w14:paraId="2536B4C7" w14:textId="77777777" w:rsidR="007A2869" w:rsidRDefault="00000000">
            <w:r>
              <w:rPr>
                <w:sz w:val="20"/>
                <w:szCs w:val="20"/>
              </w:rPr>
              <w:t>Total return</w:t>
            </w:r>
          </w:p>
        </w:tc>
      </w:tr>
      <w:tr w:rsidR="007A2869" w14:paraId="2536B4CD" w14:textId="77777777" w:rsidTr="00DC0ADB">
        <w:tblPrEx>
          <w:tblCellMar>
            <w:top w:w="0" w:type="dxa"/>
            <w:bottom w:w="0" w:type="dxa"/>
          </w:tblCellMar>
        </w:tblPrEx>
        <w:tc>
          <w:tcPr>
            <w:tcW w:w="2610" w:type="dxa"/>
            <w:tcBorders>
              <w:top w:val="nil"/>
              <w:left w:val="nil"/>
              <w:bottom w:val="nil"/>
              <w:right w:val="nil"/>
            </w:tcBorders>
            <w:tcMar>
              <w:top w:w="60" w:type="dxa"/>
              <w:left w:w="80" w:type="dxa"/>
              <w:bottom w:w="60" w:type="dxa"/>
              <w:right w:w="80" w:type="dxa"/>
            </w:tcMar>
            <w:vAlign w:val="center"/>
          </w:tcPr>
          <w:p w14:paraId="2536B4C9" w14:textId="77777777" w:rsidR="007A2869" w:rsidRDefault="00000000">
            <w:r>
              <w:rPr>
                <w:sz w:val="20"/>
                <w:szCs w:val="20"/>
              </w:rPr>
              <w:t>FTSE MIB</w:t>
            </w:r>
          </w:p>
        </w:tc>
        <w:tc>
          <w:tcPr>
            <w:tcW w:w="1890" w:type="dxa"/>
            <w:tcBorders>
              <w:top w:val="nil"/>
              <w:left w:val="nil"/>
              <w:bottom w:val="nil"/>
              <w:right w:val="nil"/>
            </w:tcBorders>
            <w:tcMar>
              <w:top w:w="60" w:type="dxa"/>
              <w:left w:w="80" w:type="dxa"/>
              <w:bottom w:w="60" w:type="dxa"/>
              <w:right w:w="80" w:type="dxa"/>
            </w:tcMar>
            <w:vAlign w:val="center"/>
          </w:tcPr>
          <w:p w14:paraId="2536B4CA" w14:textId="77777777" w:rsidR="007A2869" w:rsidRDefault="00000000">
            <w:r>
              <w:rPr>
                <w:sz w:val="20"/>
                <w:szCs w:val="20"/>
              </w:rPr>
              <w:t>Equity (IT)</w:t>
            </w:r>
          </w:p>
        </w:tc>
        <w:tc>
          <w:tcPr>
            <w:tcW w:w="1350" w:type="dxa"/>
            <w:tcBorders>
              <w:top w:val="nil"/>
              <w:left w:val="nil"/>
              <w:bottom w:val="nil"/>
              <w:right w:val="nil"/>
            </w:tcBorders>
            <w:tcMar>
              <w:top w:w="60" w:type="dxa"/>
              <w:left w:w="80" w:type="dxa"/>
              <w:bottom w:w="60" w:type="dxa"/>
              <w:right w:w="80" w:type="dxa"/>
            </w:tcMar>
            <w:vAlign w:val="center"/>
          </w:tcPr>
          <w:p w14:paraId="2536B4CB" w14:textId="77777777" w:rsidR="007A2869" w:rsidRDefault="00000000">
            <w:r>
              <w:rPr>
                <w:sz w:val="20"/>
                <w:szCs w:val="20"/>
              </w:rPr>
              <w:t>.FTMIB</w:t>
            </w:r>
          </w:p>
        </w:tc>
        <w:tc>
          <w:tcPr>
            <w:tcW w:w="3510" w:type="dxa"/>
            <w:tcBorders>
              <w:top w:val="nil"/>
              <w:left w:val="nil"/>
              <w:bottom w:val="nil"/>
              <w:right w:val="nil"/>
            </w:tcBorders>
            <w:tcMar>
              <w:top w:w="60" w:type="dxa"/>
              <w:left w:w="80" w:type="dxa"/>
              <w:bottom w:w="60" w:type="dxa"/>
              <w:right w:w="80" w:type="dxa"/>
            </w:tcMar>
            <w:vAlign w:val="center"/>
          </w:tcPr>
          <w:p w14:paraId="2536B4CC" w14:textId="77777777" w:rsidR="007A2869" w:rsidRDefault="00000000">
            <w:r>
              <w:rPr>
                <w:sz w:val="20"/>
                <w:szCs w:val="20"/>
              </w:rPr>
              <w:t>Total return</w:t>
            </w:r>
          </w:p>
        </w:tc>
      </w:tr>
      <w:tr w:rsidR="007A2869" w14:paraId="2536B4D2" w14:textId="77777777" w:rsidTr="00DC0ADB">
        <w:tblPrEx>
          <w:tblCellMar>
            <w:top w:w="0" w:type="dxa"/>
            <w:bottom w:w="0" w:type="dxa"/>
          </w:tblCellMar>
        </w:tblPrEx>
        <w:tc>
          <w:tcPr>
            <w:tcW w:w="2610" w:type="dxa"/>
            <w:tcBorders>
              <w:top w:val="nil"/>
              <w:left w:val="nil"/>
              <w:bottom w:val="nil"/>
              <w:right w:val="nil"/>
            </w:tcBorders>
            <w:tcMar>
              <w:top w:w="60" w:type="dxa"/>
              <w:left w:w="80" w:type="dxa"/>
              <w:bottom w:w="60" w:type="dxa"/>
              <w:right w:w="80" w:type="dxa"/>
            </w:tcMar>
            <w:vAlign w:val="center"/>
          </w:tcPr>
          <w:p w14:paraId="2536B4CE" w14:textId="77777777" w:rsidR="007A2869" w:rsidRDefault="00000000">
            <w:r>
              <w:rPr>
                <w:sz w:val="20"/>
                <w:szCs w:val="20"/>
              </w:rPr>
              <w:t>IBEX 35</w:t>
            </w:r>
          </w:p>
        </w:tc>
        <w:tc>
          <w:tcPr>
            <w:tcW w:w="1890" w:type="dxa"/>
            <w:tcBorders>
              <w:top w:val="nil"/>
              <w:left w:val="nil"/>
              <w:bottom w:val="nil"/>
              <w:right w:val="nil"/>
            </w:tcBorders>
            <w:tcMar>
              <w:top w:w="60" w:type="dxa"/>
              <w:left w:w="80" w:type="dxa"/>
              <w:bottom w:w="60" w:type="dxa"/>
              <w:right w:w="80" w:type="dxa"/>
            </w:tcMar>
            <w:vAlign w:val="center"/>
          </w:tcPr>
          <w:p w14:paraId="2536B4CF" w14:textId="77777777" w:rsidR="007A2869" w:rsidRDefault="00000000">
            <w:r>
              <w:rPr>
                <w:sz w:val="20"/>
                <w:szCs w:val="20"/>
              </w:rPr>
              <w:t>Equity (ES)</w:t>
            </w:r>
          </w:p>
        </w:tc>
        <w:tc>
          <w:tcPr>
            <w:tcW w:w="1350" w:type="dxa"/>
            <w:tcBorders>
              <w:top w:val="nil"/>
              <w:left w:val="nil"/>
              <w:bottom w:val="nil"/>
              <w:right w:val="nil"/>
            </w:tcBorders>
            <w:tcMar>
              <w:top w:w="60" w:type="dxa"/>
              <w:left w:w="80" w:type="dxa"/>
              <w:bottom w:w="60" w:type="dxa"/>
              <w:right w:w="80" w:type="dxa"/>
            </w:tcMar>
            <w:vAlign w:val="center"/>
          </w:tcPr>
          <w:p w14:paraId="2536B4D0" w14:textId="77777777" w:rsidR="007A2869" w:rsidRDefault="00000000">
            <w:r>
              <w:rPr>
                <w:sz w:val="20"/>
                <w:szCs w:val="20"/>
              </w:rPr>
              <w:t>.IBEX</w:t>
            </w:r>
          </w:p>
        </w:tc>
        <w:tc>
          <w:tcPr>
            <w:tcW w:w="3510" w:type="dxa"/>
            <w:tcBorders>
              <w:top w:val="nil"/>
              <w:left w:val="nil"/>
              <w:bottom w:val="nil"/>
              <w:right w:val="nil"/>
            </w:tcBorders>
            <w:tcMar>
              <w:top w:w="60" w:type="dxa"/>
              <w:left w:w="80" w:type="dxa"/>
              <w:bottom w:w="60" w:type="dxa"/>
              <w:right w:w="80" w:type="dxa"/>
            </w:tcMar>
            <w:vAlign w:val="center"/>
          </w:tcPr>
          <w:p w14:paraId="2536B4D1" w14:textId="77777777" w:rsidR="007A2869" w:rsidRDefault="00000000">
            <w:r>
              <w:rPr>
                <w:sz w:val="20"/>
                <w:szCs w:val="20"/>
              </w:rPr>
              <w:t>Total return</w:t>
            </w:r>
          </w:p>
        </w:tc>
      </w:tr>
      <w:tr w:rsidR="007A2869" w14:paraId="2536B4D7" w14:textId="77777777" w:rsidTr="00DC0ADB">
        <w:tblPrEx>
          <w:tblCellMar>
            <w:top w:w="0" w:type="dxa"/>
            <w:bottom w:w="0" w:type="dxa"/>
          </w:tblCellMar>
        </w:tblPrEx>
        <w:tc>
          <w:tcPr>
            <w:tcW w:w="2610" w:type="dxa"/>
            <w:tcBorders>
              <w:top w:val="nil"/>
              <w:left w:val="nil"/>
              <w:bottom w:val="nil"/>
              <w:right w:val="nil"/>
            </w:tcBorders>
            <w:tcMar>
              <w:top w:w="60" w:type="dxa"/>
              <w:left w:w="80" w:type="dxa"/>
              <w:bottom w:w="60" w:type="dxa"/>
              <w:right w:w="80" w:type="dxa"/>
            </w:tcMar>
            <w:vAlign w:val="center"/>
          </w:tcPr>
          <w:p w14:paraId="2536B4D3" w14:textId="77777777" w:rsidR="007A2869" w:rsidRDefault="00000000">
            <w:r>
              <w:rPr>
                <w:sz w:val="20"/>
                <w:szCs w:val="20"/>
              </w:rPr>
              <w:t>STOXX Europe 600</w:t>
            </w:r>
          </w:p>
        </w:tc>
        <w:tc>
          <w:tcPr>
            <w:tcW w:w="1890" w:type="dxa"/>
            <w:tcBorders>
              <w:top w:val="nil"/>
              <w:left w:val="nil"/>
              <w:bottom w:val="nil"/>
              <w:right w:val="nil"/>
            </w:tcBorders>
            <w:tcMar>
              <w:top w:w="60" w:type="dxa"/>
              <w:left w:w="80" w:type="dxa"/>
              <w:bottom w:w="60" w:type="dxa"/>
              <w:right w:w="80" w:type="dxa"/>
            </w:tcMar>
            <w:vAlign w:val="center"/>
          </w:tcPr>
          <w:p w14:paraId="2536B4D4" w14:textId="77777777" w:rsidR="007A2869" w:rsidRDefault="00000000">
            <w:r>
              <w:rPr>
                <w:sz w:val="20"/>
                <w:szCs w:val="20"/>
              </w:rPr>
              <w:t>Equity (broad EU)</w:t>
            </w:r>
          </w:p>
        </w:tc>
        <w:tc>
          <w:tcPr>
            <w:tcW w:w="1350" w:type="dxa"/>
            <w:tcBorders>
              <w:top w:val="nil"/>
              <w:left w:val="nil"/>
              <w:bottom w:val="nil"/>
              <w:right w:val="nil"/>
            </w:tcBorders>
            <w:tcMar>
              <w:top w:w="60" w:type="dxa"/>
              <w:left w:w="80" w:type="dxa"/>
              <w:bottom w:w="60" w:type="dxa"/>
              <w:right w:w="80" w:type="dxa"/>
            </w:tcMar>
            <w:vAlign w:val="center"/>
          </w:tcPr>
          <w:p w14:paraId="2536B4D5" w14:textId="77777777" w:rsidR="007A2869" w:rsidRDefault="00000000">
            <w:r>
              <w:rPr>
                <w:sz w:val="20"/>
                <w:szCs w:val="20"/>
              </w:rPr>
              <w:t>.STOXX</w:t>
            </w:r>
          </w:p>
        </w:tc>
        <w:tc>
          <w:tcPr>
            <w:tcW w:w="3510" w:type="dxa"/>
            <w:tcBorders>
              <w:top w:val="nil"/>
              <w:left w:val="nil"/>
              <w:bottom w:val="nil"/>
              <w:right w:val="nil"/>
            </w:tcBorders>
            <w:tcMar>
              <w:top w:w="60" w:type="dxa"/>
              <w:left w:w="80" w:type="dxa"/>
              <w:bottom w:w="60" w:type="dxa"/>
              <w:right w:w="80" w:type="dxa"/>
            </w:tcMar>
            <w:vAlign w:val="center"/>
          </w:tcPr>
          <w:p w14:paraId="2536B4D6" w14:textId="77777777" w:rsidR="007A2869" w:rsidRDefault="00000000">
            <w:r>
              <w:rPr>
                <w:sz w:val="20"/>
                <w:szCs w:val="20"/>
              </w:rPr>
              <w:t>Total return; single-asset benchmark</w:t>
            </w:r>
          </w:p>
        </w:tc>
      </w:tr>
      <w:tr w:rsidR="007A2869" w14:paraId="2536B4DC" w14:textId="77777777" w:rsidTr="00DC0ADB">
        <w:tblPrEx>
          <w:tblCellMar>
            <w:top w:w="0" w:type="dxa"/>
            <w:bottom w:w="0" w:type="dxa"/>
          </w:tblCellMar>
        </w:tblPrEx>
        <w:tc>
          <w:tcPr>
            <w:tcW w:w="261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4D8" w14:textId="77777777" w:rsidR="007A2869" w:rsidRDefault="00000000">
            <w:r>
              <w:rPr>
                <w:sz w:val="20"/>
                <w:szCs w:val="20"/>
              </w:rPr>
              <w:t>FTSE EPRA/NAREIT Europe</w:t>
            </w:r>
          </w:p>
        </w:tc>
        <w:tc>
          <w:tcPr>
            <w:tcW w:w="189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4D9" w14:textId="77777777" w:rsidR="007A2869" w:rsidRDefault="00000000">
            <w:r>
              <w:rPr>
                <w:sz w:val="20"/>
                <w:szCs w:val="20"/>
              </w:rPr>
              <w:t>Listed real estate</w:t>
            </w:r>
          </w:p>
        </w:tc>
        <w:tc>
          <w:tcPr>
            <w:tcW w:w="135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4DA" w14:textId="77777777" w:rsidR="007A2869" w:rsidRDefault="00000000">
            <w:r>
              <w:rPr>
                <w:sz w:val="20"/>
                <w:szCs w:val="20"/>
              </w:rPr>
              <w:t>.FTEPRAEUR</w:t>
            </w:r>
          </w:p>
        </w:tc>
        <w:tc>
          <w:tcPr>
            <w:tcW w:w="351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4DB" w14:textId="77777777" w:rsidR="007A2869" w:rsidRDefault="00000000">
            <w:r>
              <w:rPr>
                <w:sz w:val="20"/>
                <w:szCs w:val="20"/>
              </w:rPr>
              <w:t>Total return</w:t>
            </w:r>
          </w:p>
        </w:tc>
      </w:tr>
    </w:tbl>
    <w:p w14:paraId="2536B4DE" w14:textId="77777777" w:rsidR="007A2869" w:rsidRDefault="00000000">
      <w:pPr>
        <w:spacing w:before="240" w:after="120" w:line="480" w:lineRule="auto"/>
      </w:pPr>
      <w:r>
        <w:rPr>
          <w:i/>
          <w:iCs/>
        </w:rPr>
        <w:t>B. Sample and Frequency</w:t>
      </w:r>
    </w:p>
    <w:p w14:paraId="2536B4DF" w14:textId="77777777" w:rsidR="007A2869" w:rsidRDefault="00000000">
      <w:pPr>
        <w:spacing w:line="480" w:lineRule="auto"/>
        <w:ind w:firstLine="720"/>
        <w:jc w:val="both"/>
      </w:pPr>
      <w:r>
        <w:t xml:space="preserve">All series are aligned to weekly Friday-close prices over January 14, 2000 to April 3, 2026, yielding 1,369 weekly observations before burn-in exclusions. We use simple (arithmetic) weekly returns throughout; all strategy-level statistics are annualized using a factor of 52. Missing values arising from national holidays are forward-filled for up to five consecutive business days; residual gaps (less than 0.1% for all series) are excluded from portfolio return calculations via a minimum observation requirement. Raw source files are subject to LSEG data licensing restrictions and </w:t>
      </w:r>
      <w:r>
        <w:lastRenderedPageBreak/>
        <w:t>cannot be distributed publicly; all results are reproducible from the processed parquet files accompanying this paper.</w:t>
      </w:r>
    </w:p>
    <w:p w14:paraId="2536B4E0" w14:textId="77777777" w:rsidR="007A2869" w:rsidRDefault="007A2869">
      <w:pPr>
        <w:spacing w:line="480" w:lineRule="auto"/>
      </w:pPr>
    </w:p>
    <w:p w14:paraId="2536B4E1" w14:textId="77777777" w:rsidR="007A2869" w:rsidRDefault="00000000">
      <w:pPr>
        <w:spacing w:before="240" w:after="120" w:line="480" w:lineRule="auto"/>
      </w:pPr>
      <w:r>
        <w:rPr>
          <w:i/>
          <w:iCs/>
        </w:rPr>
        <w:t>C. Regime Features</w:t>
      </w:r>
    </w:p>
    <w:p w14:paraId="2536B4E2" w14:textId="77777777" w:rsidR="007A2869" w:rsidRDefault="00000000">
      <w:pPr>
        <w:spacing w:line="480" w:lineRule="auto"/>
        <w:ind w:firstLine="720"/>
        <w:jc w:val="both"/>
      </w:pPr>
      <w:r>
        <w:t>The HMM is estimated on eight macro-financial features, each transformed to a 52-week rolling z-score to ensure comparable scale. The features are: the VIX implied volatility index (z52_VIX, anchor for state ordering), VSTOXX European implied volatility (z52_VSTOXX), the MOVE fixed-income volatility index (z52_MOVE), the Germany 10-year yield minus ECB deposit rate slope (z52_germany_10y_2y_slope), the average sovereign spread of Spain, Portugal, and Italy over Germany (z52_peripheral_spread_avg), the DXY dollar index (z52_DXY_USD_Index), the Eurozone Economic Sentiment Indicator (z52_Eurozone_Economic_Sentiment_Indicator), and the HICP headline-minus-core inflation gap (z52_hicp_headline_core_gap). Sample coverage ranges from 78% (ESI, HICP) to 100% (VIX).</w:t>
      </w:r>
    </w:p>
    <w:p w14:paraId="2536B4E4" w14:textId="77777777" w:rsidR="007A2869" w:rsidRDefault="00000000">
      <w:pPr>
        <w:spacing w:before="480" w:after="240" w:line="480" w:lineRule="auto"/>
        <w:jc w:val="center"/>
      </w:pPr>
      <w:r>
        <w:t>II. METHODOLOGY</w:t>
      </w:r>
    </w:p>
    <w:p w14:paraId="2536B4E5" w14:textId="77777777" w:rsidR="007A2869" w:rsidRDefault="00000000">
      <w:pPr>
        <w:spacing w:before="240" w:after="120" w:line="480" w:lineRule="auto"/>
      </w:pPr>
      <w:r>
        <w:rPr>
          <w:i/>
          <w:iCs/>
        </w:rPr>
        <w:t>A. Return Computation and Transaction Costs</w:t>
      </w:r>
    </w:p>
    <w:p w14:paraId="2536B4E6" w14:textId="77777777" w:rsidR="007A2869" w:rsidRDefault="00000000">
      <w:pPr>
        <w:spacing w:line="480" w:lineRule="auto"/>
        <w:ind w:firstLine="720"/>
        <w:jc w:val="both"/>
      </w:pPr>
      <w:r>
        <w:t xml:space="preserve">Let p_{i,t} denote the price (or price-equivalent level) of asset i at end of week t. Simple weekly returns are r_{i,t} = p_{i,t}/p_{i,t-1} - 1. Portfolio returns are r_{p,t} = sum_i w_{i,t-1} r_{i,t}, where w_{i,t-1} are weights set at the open of week t. Transaction costs are modeled as </w:t>
      </w:r>
      <w:r>
        <w:lastRenderedPageBreak/>
        <w:t>TC_rate * sum_i |w_{i,t} - w_{i,t-1}^+|, where w_{i,t-1}^+ is the weight after drift and before rebalancing. We evaluate TC rates of 0, 5, 10, and 25 basis points per one-way unit of turnover.</w:t>
      </w:r>
    </w:p>
    <w:p w14:paraId="2536B4E7" w14:textId="77777777" w:rsidR="007A2869" w:rsidRDefault="007A2869">
      <w:pPr>
        <w:spacing w:line="480" w:lineRule="auto"/>
      </w:pPr>
    </w:p>
    <w:p w14:paraId="2536B4E8" w14:textId="77777777" w:rsidR="007A2869" w:rsidRDefault="00000000">
      <w:pPr>
        <w:spacing w:before="240" w:after="120" w:line="480" w:lineRule="auto"/>
      </w:pPr>
      <w:r>
        <w:rPr>
          <w:i/>
          <w:iCs/>
        </w:rPr>
        <w:t>B. CVaR Portfolio Optimization</w:t>
      </w:r>
    </w:p>
    <w:p w14:paraId="2536B4E9" w14:textId="77777777" w:rsidR="007A2869" w:rsidRDefault="00000000">
      <w:pPr>
        <w:spacing w:line="480" w:lineRule="auto"/>
        <w:ind w:firstLine="720"/>
        <w:jc w:val="both"/>
      </w:pPr>
      <w:r>
        <w:t>For a portfolio weight vector w, the Conditional Value-at-Risk (CVaR) at confidence level α = 0.95 is the expected loss conditional on being in the worst (1 - α) tail of the return distribution. Following Rockafellar and Uryasev (2000), CVaR is minimized via a linear program (LP) over a scenario set of T_s historical weekly returns. The LP takes the form:</w:t>
      </w:r>
    </w:p>
    <w:p w14:paraId="2536B4EA" w14:textId="77777777" w:rsidR="007A2869" w:rsidRDefault="007A2869">
      <w:pPr>
        <w:spacing w:line="480" w:lineRule="auto"/>
      </w:pPr>
    </w:p>
    <w:p w14:paraId="2536B4EB" w14:textId="77777777" w:rsidR="007A2869" w:rsidRDefault="00000000">
      <w:pPr>
        <w:spacing w:before="120" w:after="60" w:line="300" w:lineRule="auto"/>
        <w:jc w:val="center"/>
      </w:pPr>
      <w:r>
        <w:rPr>
          <w:sz w:val="22"/>
          <w:szCs w:val="22"/>
        </w:rPr>
        <w:t>min     ζ + [1 / ((1 - α) · T_s)] · Σ_t  u_t</w:t>
      </w:r>
    </w:p>
    <w:p w14:paraId="2536B4EC" w14:textId="77777777" w:rsidR="007A2869" w:rsidRDefault="00000000">
      <w:pPr>
        <w:spacing w:before="120" w:after="60" w:line="300" w:lineRule="auto"/>
        <w:jc w:val="center"/>
      </w:pPr>
      <w:r>
        <w:rPr>
          <w:sz w:val="22"/>
          <w:szCs w:val="22"/>
        </w:rPr>
        <w:t>s.t.    u_t &gt;= -r_t'w - ζ,     u_t &gt;= 0,     Σ_i w_i = 1,     0 &lt;= w_i &lt;= 0.25</w:t>
      </w:r>
    </w:p>
    <w:p w14:paraId="2536B4ED" w14:textId="77777777" w:rsidR="007A2869" w:rsidRDefault="007A2869">
      <w:pPr>
        <w:spacing w:line="480" w:lineRule="auto"/>
      </w:pPr>
    </w:p>
    <w:p w14:paraId="2536B4EE" w14:textId="77777777" w:rsidR="007A2869" w:rsidRDefault="00000000">
      <w:pPr>
        <w:spacing w:line="480" w:lineRule="auto"/>
        <w:ind w:firstLine="720"/>
        <w:jc w:val="both"/>
      </w:pPr>
      <w:r>
        <w:t>Here ζ is the Value-at-Risk threshold and u_t are auxiliary loss exceedance variables. With α = 0.95, the factor 1/((1 - α) · T_s) = 1/(0.05 · T_s) averages the losses exceeding the VaR threshold over the worst 5% of scenarios. The scalar 0.25 imposes a 25% maximum weight per asset. The scenario window is a rolling 260-week (5-year) history of weekly returns. We solve the LP using scipy.optimize.linprog at each four-week rebalance.</w:t>
      </w:r>
    </w:p>
    <w:p w14:paraId="2536B4EF" w14:textId="77777777" w:rsidR="007A2869" w:rsidRDefault="007A2869">
      <w:pPr>
        <w:spacing w:line="480" w:lineRule="auto"/>
      </w:pPr>
    </w:p>
    <w:p w14:paraId="2536B4F0" w14:textId="77777777" w:rsidR="007A2869" w:rsidRDefault="00000000">
      <w:pPr>
        <w:spacing w:line="480" w:lineRule="auto"/>
        <w:ind w:firstLine="720"/>
        <w:jc w:val="both"/>
      </w:pPr>
      <w:r>
        <w:t>We consider four CVaR variants. Static CVaR uses all 260 scenarios without regime conditioning. Regime CVaR-A restricts the scenario set to historical weeks in which the current regime label was active; if fewer than 30 such weeks are available, it falls back to the full 260-</w:t>
      </w:r>
      <w:r>
        <w:lastRenderedPageBreak/>
        <w:t>week window. Weighted CVaR assigns scenario weights proportional to the current week's posterior probability of each historical week's regime label, using all 260 scenarios. TC-aware CVaR augments the LP objective with an L1 turnover penalty term λ · sum_i |w_i - w_{i,prev}|, implemented via standard auxiliary variables.</w:t>
      </w:r>
    </w:p>
    <w:p w14:paraId="2536B4F1" w14:textId="77777777" w:rsidR="007A2869" w:rsidRDefault="007A2869">
      <w:pPr>
        <w:spacing w:line="480" w:lineRule="auto"/>
      </w:pPr>
    </w:p>
    <w:p w14:paraId="2536B4F2" w14:textId="77777777" w:rsidR="007A2869" w:rsidRDefault="00000000">
      <w:pPr>
        <w:spacing w:before="240" w:after="120" w:line="480" w:lineRule="auto"/>
      </w:pPr>
      <w:r>
        <w:rPr>
          <w:i/>
          <w:iCs/>
        </w:rPr>
        <w:t>C. Markowitz Minimum-Variance</w:t>
      </w:r>
    </w:p>
    <w:p w14:paraId="2536B4F3" w14:textId="77777777" w:rsidR="007A2869" w:rsidRDefault="00000000">
      <w:pPr>
        <w:spacing w:line="480" w:lineRule="auto"/>
        <w:ind w:firstLine="720"/>
        <w:jc w:val="both"/>
      </w:pPr>
      <w:r>
        <w:t>As an additional benchmark, we estimate a minimum-variance portfolio using a Ledoit-Wolf shrinkage estimator applied to the rolling 260-week sample covariance matrix (Ledoit and Wolf, 2004). The same 25% maximum weight constraint applies. We label this strategy Markowitz (Min-Var).</w:t>
      </w:r>
    </w:p>
    <w:p w14:paraId="2536B4F4" w14:textId="77777777" w:rsidR="007A2869" w:rsidRDefault="007A2869">
      <w:pPr>
        <w:spacing w:line="480" w:lineRule="auto"/>
      </w:pPr>
    </w:p>
    <w:p w14:paraId="2536B4F5" w14:textId="77777777" w:rsidR="007A2869" w:rsidRDefault="00000000">
      <w:pPr>
        <w:spacing w:before="240" w:after="120" w:line="480" w:lineRule="auto"/>
      </w:pPr>
      <w:r>
        <w:rPr>
          <w:i/>
          <w:iCs/>
        </w:rPr>
        <w:t>D. HMM Regime Detection</w:t>
      </w:r>
    </w:p>
    <w:p w14:paraId="2536B4F6" w14:textId="77777777" w:rsidR="007A2869" w:rsidRDefault="00000000">
      <w:pPr>
        <w:spacing w:line="480" w:lineRule="auto"/>
        <w:ind w:firstLine="720"/>
        <w:jc w:val="both"/>
      </w:pPr>
      <w:r>
        <w:t>We model the evolution of market states using a four-state Gaussian Hidden Markov Model (HMM) with diagonal covariance matrices, estimated via the Expectation-Maximization (EM) algorithm with 15 random restarts and up to 500 EM iterations per restart. The model is applied to the eight z-score features described in Section I.C. The four-state specification is selected by BIC from a grid of two to five states.</w:t>
      </w:r>
    </w:p>
    <w:p w14:paraId="2536B4F7" w14:textId="77777777" w:rsidR="007A2869" w:rsidRDefault="007A2869">
      <w:pPr>
        <w:spacing w:line="480" w:lineRule="auto"/>
      </w:pPr>
    </w:p>
    <w:p w14:paraId="2536B4F8" w14:textId="77777777" w:rsidR="007A2869" w:rsidRDefault="00000000">
      <w:pPr>
        <w:spacing w:line="480" w:lineRule="auto"/>
        <w:ind w:firstLine="720"/>
        <w:jc w:val="both"/>
      </w:pPr>
      <w:r>
        <w:t xml:space="preserve">Critically, all regime labels used in portfolio construction are strictly out-of-sample. We implement an expanding walk-forward procedure: at each four-week rebalance step, the HMM is </w:t>
      </w:r>
      <w:r>
        <w:lastRenderedPageBreak/>
        <w:t>re-estimated from scratch using all available history up to the current rebalance date, subject to a minimum of MIN_TRAIN_OBS = 156 weeks (three years) of training data. Panel B evaluation starts from October 15, 2010 to ensure stable four-state estimates throughout. States are canonically ordered by ascending mean z52_VIX across the walk-forward window; State 0 has the lowest equity-volatility signature and State 3 the highest.</w:t>
      </w:r>
    </w:p>
    <w:p w14:paraId="2536B4F9" w14:textId="77777777" w:rsidR="007A2869" w:rsidRDefault="007A2869">
      <w:pPr>
        <w:spacing w:line="480" w:lineRule="auto"/>
      </w:pPr>
    </w:p>
    <w:p w14:paraId="2536B4FA" w14:textId="77777777" w:rsidR="007A2869" w:rsidRDefault="00000000">
      <w:pPr>
        <w:spacing w:before="240" w:after="120" w:line="480" w:lineRule="auto"/>
      </w:pPr>
      <w:r>
        <w:rPr>
          <w:i/>
          <w:iCs/>
        </w:rPr>
        <w:t>E. Backtesting and Evaluation</w:t>
      </w:r>
    </w:p>
    <w:p w14:paraId="2536B4FB" w14:textId="77777777" w:rsidR="007A2869" w:rsidRDefault="00000000">
      <w:pPr>
        <w:spacing w:line="480" w:lineRule="auto"/>
        <w:ind w:firstLine="720"/>
        <w:jc w:val="both"/>
      </w:pPr>
      <w:r>
        <w:t>All strategies are rebalanced every four weeks. Panel A evaluates the long-horizon period from January 10, 2003 to April 3, 2026 (1,213 weeks) for the four non-regime strategies. Panel B evaluates from October 15, 2010 to April 3, 2026 (808 weeks) and adds Regime CVaR-A and Weighted CVaR. Performance metrics include: annualized CAGR (weekly compounding, factor 52), annualized volatility (times square root of 52), Sharpe ratio (mean excess return over EURIBOR 3M divided by standard deviation, times square root of 52), maximum drawdown (peak-to-trough on the cumulative wealth curve), 95% CVaR (average of worst 5% weekly returns), Calmar ratio (CAGR/|MaxDD|), and annualized turnover (mean weekly one-way turnover times 52).</w:t>
      </w:r>
    </w:p>
    <w:p w14:paraId="2536B4FC" w14:textId="77777777" w:rsidR="007A2869" w:rsidRDefault="007A2869">
      <w:pPr>
        <w:spacing w:line="480" w:lineRule="auto"/>
      </w:pPr>
    </w:p>
    <w:p w14:paraId="2536B4FD" w14:textId="77777777" w:rsidR="007A2869" w:rsidRDefault="00000000">
      <w:pPr>
        <w:spacing w:before="240" w:after="120" w:line="480" w:lineRule="auto"/>
      </w:pPr>
      <w:r>
        <w:rPr>
          <w:i/>
          <w:iCs/>
        </w:rPr>
        <w:t>F. Statistical Tests</w:t>
      </w:r>
    </w:p>
    <w:p w14:paraId="2536B4FE" w14:textId="77777777" w:rsidR="007A2869" w:rsidRDefault="00000000">
      <w:pPr>
        <w:spacing w:line="480" w:lineRule="auto"/>
        <w:ind w:firstLine="720"/>
        <w:jc w:val="both"/>
      </w:pPr>
      <w:r>
        <w:t xml:space="preserve">We report two complementary tests. First, a pairwise HAC/Newey-West t-test (Newey and West, 1987) of mean excess-return differentials (strategy minus equal-weight benchmark), with a </w:t>
      </w:r>
      <w:r>
        <w:lastRenderedPageBreak/>
        <w:t>lag of 13 weeks (one quarter) to account for serial correlation. The test is one-sided (H_1: strategy mean excess return &gt; benchmark). Second, a circular block-bootstrap Sharpe ratio confidence interval with block length 13 weeks and 5,000 bootstrap draws, which accounts for return autocorrelation and fat tails without distributional assumptions. We caution that the bootstrap intervals report individual strategy Sharpe uncertainty; they do not constitute pairwise tests of Sharpe equality between strategies.</w:t>
      </w:r>
    </w:p>
    <w:p w14:paraId="2536B4FF" w14:textId="77777777" w:rsidR="007A2869" w:rsidRDefault="007A2869">
      <w:pPr>
        <w:spacing w:line="480" w:lineRule="auto"/>
      </w:pPr>
    </w:p>
    <w:p w14:paraId="2536B500" w14:textId="77777777" w:rsidR="007A2869" w:rsidRDefault="00000000">
      <w:pPr>
        <w:spacing w:before="480" w:after="240" w:line="480" w:lineRule="auto"/>
        <w:jc w:val="center"/>
      </w:pPr>
      <w:r>
        <w:t>III. REGIME CHARACTERIZATION</w:t>
      </w:r>
    </w:p>
    <w:p w14:paraId="2536B501" w14:textId="77777777" w:rsidR="007A2869" w:rsidRDefault="00000000">
      <w:pPr>
        <w:spacing w:line="480" w:lineRule="auto"/>
        <w:ind w:firstLine="720"/>
        <w:jc w:val="both"/>
      </w:pPr>
      <w:r>
        <w:t>Table II summarizes the four HMM states identified by their heuristic labels, assigned post-estimation from average feature values. Statistics are from the full-sample descriptive HMM (used here for characterization only); portfolio construction relies exclusively on the expanding walk-forward labels. State 0 has the lowest canonical z52_VIX mean; State 3 the highest. This ordering is enforced post-estimation and is not a model constraint.</w:t>
      </w:r>
    </w:p>
    <w:p w14:paraId="2536B502" w14:textId="77777777" w:rsidR="007A2869" w:rsidRDefault="007A2869">
      <w:pPr>
        <w:spacing w:line="480" w:lineRule="auto"/>
      </w:pPr>
    </w:p>
    <w:p w14:paraId="2536B503" w14:textId="77777777" w:rsidR="007A2869" w:rsidRDefault="00000000">
      <w:pPr>
        <w:spacing w:line="480" w:lineRule="auto"/>
        <w:ind w:firstLine="720"/>
        <w:jc w:val="both"/>
      </w:pPr>
      <w:r>
        <w:t xml:space="preserve">State 0 (Low-vol / Subdued) exhibits the lowest VIX (z-score mean: -0.96), a steeply inverted yield curve slope (-1.31), and neutral-to-negative economic sentiment (-0.33). It captures late-cycle deceleration phases with suppressed volatility but deteriorating fundamentals. State 1 (Risk-on / Expansion) combines low VIX (-0.59) with strongly positive ESI (+1.49), tight sovereign spreads (-0.57), and a steep yield curve (+0.70), consistent with broad risk appetite. State 2 (Neutral / Moderate) is an intermediate state with near-average VIX (+0.05) and below-average </w:t>
      </w:r>
      <w:r>
        <w:lastRenderedPageBreak/>
        <w:t>ESI (-0.73). State 3 (Elevated-risk / Stress) has the highest VIX (+1.84), wide peripheral spreads (+0.45), and strongly negative ESI (-0.74), capturing acute stress episodes including the Global Financial Crisis of 2008 to 2009, the European sovereign crisis of 2011 to 2012, and the COVID-19 crash of March 2020.</w:t>
      </w:r>
    </w:p>
    <w:p w14:paraId="2536B504" w14:textId="77777777" w:rsidR="007A2869" w:rsidRDefault="007A2869">
      <w:pPr>
        <w:spacing w:line="480" w:lineRule="auto"/>
      </w:pPr>
    </w:p>
    <w:p w14:paraId="2536B505" w14:textId="77777777" w:rsidR="007A2869" w:rsidRDefault="00000000">
      <w:pPr>
        <w:spacing w:line="480" w:lineRule="auto"/>
        <w:ind w:firstLine="720"/>
        <w:jc w:val="both"/>
      </w:pPr>
      <w:r>
        <w:t>These labels are interpretive, not model constraints. The walk-forward procedure means that state assignments for any given week reflect only information available up to that date. Baseline label agreement with a 6-week HICP-lagged specification is approximately 55%, confirming that the HICP publication-lag timing assumption is a meaningful but not outcome-determining modeling choice (Section VII).</w:t>
      </w:r>
    </w:p>
    <w:p w14:paraId="2536B506" w14:textId="77777777" w:rsidR="007A2869" w:rsidRDefault="007A2869">
      <w:pPr>
        <w:spacing w:line="480" w:lineRule="auto"/>
      </w:pPr>
    </w:p>
    <w:p w14:paraId="2536B507" w14:textId="77777777" w:rsidR="007A2869" w:rsidRDefault="00000000">
      <w:pPr>
        <w:keepNext/>
        <w:spacing w:before="480" w:line="300" w:lineRule="auto"/>
      </w:pPr>
      <w:r>
        <w:rPr>
          <w:b/>
          <w:bCs/>
          <w:sz w:val="22"/>
          <w:szCs w:val="22"/>
        </w:rPr>
        <w:t>TABLE II</w:t>
      </w:r>
    </w:p>
    <w:p w14:paraId="2536B508" w14:textId="77777777" w:rsidR="007A2869" w:rsidRDefault="00000000">
      <w:pPr>
        <w:keepNext/>
        <w:spacing w:after="60" w:line="300" w:lineRule="auto"/>
      </w:pPr>
      <w:r>
        <w:rPr>
          <w:sz w:val="22"/>
          <w:szCs w:val="22"/>
        </w:rPr>
        <w:t>HMM Market-State Characteristics</w:t>
      </w:r>
    </w:p>
    <w:p w14:paraId="2536B509" w14:textId="77777777" w:rsidR="007A2869" w:rsidRDefault="00000000">
      <w:pPr>
        <w:keepNext/>
        <w:spacing w:before="60" w:after="120" w:line="276" w:lineRule="auto"/>
      </w:pPr>
      <w:r>
        <w:rPr>
          <w:sz w:val="18"/>
          <w:szCs w:val="18"/>
        </w:rPr>
        <w:t>Four-state Gaussian HMM estimated on eight macro-financial z-score features (full-sample descriptive; portfolio construction uses strictly OOS walk-forward labels). States are ordered by ascending mean z52_VIX. Freq = share of total weekly observations. Avg Dur = average regime episode duration (weeks). Selected feature z-score means shown; full feature vectors available in the supplementary data. ESI = Eurozone Economic Sentiment Indicator; Spread = average ES/PT/IT peripheral spread to Germany.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2350"/>
        <w:gridCol w:w="855"/>
        <w:gridCol w:w="962"/>
        <w:gridCol w:w="962"/>
        <w:gridCol w:w="962"/>
        <w:gridCol w:w="962"/>
        <w:gridCol w:w="812"/>
      </w:tblGrid>
      <w:tr w:rsidR="007A2869" w14:paraId="2536B512" w14:textId="77777777">
        <w:tblPrEx>
          <w:tblCellMar>
            <w:top w:w="0" w:type="dxa"/>
            <w:bottom w:w="0" w:type="dxa"/>
          </w:tblCellMar>
        </w:tblPrEx>
        <w:trPr>
          <w:tblHeader/>
        </w:trPr>
        <w:tc>
          <w:tcPr>
            <w:tcW w:w="14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0A" w14:textId="77777777" w:rsidR="007A2869" w:rsidRDefault="00000000">
            <w:r>
              <w:rPr>
                <w:b/>
                <w:bCs/>
                <w:sz w:val="20"/>
                <w:szCs w:val="20"/>
              </w:rPr>
              <w:t>State</w:t>
            </w:r>
          </w:p>
        </w:tc>
        <w:tc>
          <w:tcPr>
            <w:tcW w:w="22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0B" w14:textId="77777777" w:rsidR="007A2869" w:rsidRDefault="00000000">
            <w:r>
              <w:rPr>
                <w:b/>
                <w:bCs/>
                <w:sz w:val="20"/>
                <w:szCs w:val="20"/>
              </w:rPr>
              <w:t>Label</w:t>
            </w:r>
          </w:p>
        </w:tc>
        <w:tc>
          <w:tcPr>
            <w:tcW w:w="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0C" w14:textId="77777777" w:rsidR="007A2869" w:rsidRDefault="00000000">
            <w:pPr>
              <w:jc w:val="right"/>
            </w:pPr>
            <w:r>
              <w:rPr>
                <w:b/>
                <w:bCs/>
                <w:sz w:val="20"/>
                <w:szCs w:val="20"/>
              </w:rPr>
              <w:t>Freq%</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0D" w14:textId="77777777" w:rsidR="007A2869" w:rsidRDefault="00000000">
            <w:pPr>
              <w:jc w:val="right"/>
            </w:pPr>
            <w:r>
              <w:rPr>
                <w:b/>
                <w:bCs/>
                <w:sz w:val="20"/>
                <w:szCs w:val="20"/>
              </w:rPr>
              <w:t>Avg Dur(w)</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0E" w14:textId="77777777" w:rsidR="007A2869" w:rsidRDefault="00000000">
            <w:pPr>
              <w:jc w:val="right"/>
            </w:pPr>
            <w:r>
              <w:rPr>
                <w:b/>
                <w:bCs/>
                <w:sz w:val="20"/>
                <w:szCs w:val="20"/>
              </w:rPr>
              <w:t>z52 VIX</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0F" w14:textId="77777777" w:rsidR="007A2869" w:rsidRDefault="00000000">
            <w:pPr>
              <w:jc w:val="right"/>
            </w:pPr>
            <w:r>
              <w:rPr>
                <w:b/>
                <w:bCs/>
                <w:sz w:val="20"/>
                <w:szCs w:val="20"/>
              </w:rPr>
              <w:t>z52 ESI</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10" w14:textId="77777777" w:rsidR="007A2869" w:rsidRDefault="00000000">
            <w:pPr>
              <w:jc w:val="right"/>
            </w:pPr>
            <w:r>
              <w:rPr>
                <w:b/>
                <w:bCs/>
                <w:sz w:val="20"/>
                <w:szCs w:val="20"/>
              </w:rPr>
              <w:t>z52 Spread</w:t>
            </w:r>
          </w:p>
        </w:tc>
        <w:tc>
          <w:tcPr>
            <w:tcW w:w="7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11" w14:textId="77777777" w:rsidR="007A2869" w:rsidRDefault="00000000">
            <w:pPr>
              <w:jc w:val="right"/>
            </w:pPr>
            <w:r>
              <w:rPr>
                <w:b/>
                <w:bCs/>
                <w:sz w:val="20"/>
                <w:szCs w:val="20"/>
              </w:rPr>
              <w:t>z52 Slope</w:t>
            </w:r>
          </w:p>
        </w:tc>
      </w:tr>
      <w:tr w:rsidR="007A2869" w14:paraId="2536B51B" w14:textId="77777777">
        <w:tblPrEx>
          <w:tblCellMar>
            <w:top w:w="0" w:type="dxa"/>
            <w:bottom w:w="0" w:type="dxa"/>
          </w:tblCellMar>
        </w:tblPrEx>
        <w:tc>
          <w:tcPr>
            <w:tcW w:w="1400" w:type="dxa"/>
            <w:tcBorders>
              <w:top w:val="nil"/>
              <w:left w:val="nil"/>
              <w:bottom w:val="nil"/>
              <w:right w:val="nil"/>
            </w:tcBorders>
            <w:tcMar>
              <w:top w:w="60" w:type="dxa"/>
              <w:left w:w="80" w:type="dxa"/>
              <w:bottom w:w="60" w:type="dxa"/>
              <w:right w:w="80" w:type="dxa"/>
            </w:tcMar>
            <w:vAlign w:val="center"/>
          </w:tcPr>
          <w:p w14:paraId="2536B513" w14:textId="77777777" w:rsidR="007A2869" w:rsidRDefault="00000000">
            <w:r>
              <w:rPr>
                <w:sz w:val="20"/>
                <w:szCs w:val="20"/>
              </w:rPr>
              <w:t>0</w:t>
            </w:r>
          </w:p>
        </w:tc>
        <w:tc>
          <w:tcPr>
            <w:tcW w:w="2200" w:type="dxa"/>
            <w:tcBorders>
              <w:top w:val="nil"/>
              <w:left w:val="nil"/>
              <w:bottom w:val="nil"/>
              <w:right w:val="nil"/>
            </w:tcBorders>
            <w:tcMar>
              <w:top w:w="60" w:type="dxa"/>
              <w:left w:w="80" w:type="dxa"/>
              <w:bottom w:w="60" w:type="dxa"/>
              <w:right w:w="80" w:type="dxa"/>
            </w:tcMar>
            <w:vAlign w:val="center"/>
          </w:tcPr>
          <w:p w14:paraId="2536B514" w14:textId="77777777" w:rsidR="007A2869" w:rsidRDefault="00000000">
            <w:r>
              <w:rPr>
                <w:sz w:val="20"/>
                <w:szCs w:val="20"/>
              </w:rPr>
              <w:t>Low-vol / Subdued</w:t>
            </w:r>
          </w:p>
        </w:tc>
        <w:tc>
          <w:tcPr>
            <w:tcW w:w="800" w:type="dxa"/>
            <w:tcBorders>
              <w:top w:val="nil"/>
              <w:left w:val="nil"/>
              <w:bottom w:val="nil"/>
              <w:right w:val="nil"/>
            </w:tcBorders>
            <w:tcMar>
              <w:top w:w="60" w:type="dxa"/>
              <w:left w:w="80" w:type="dxa"/>
              <w:bottom w:w="60" w:type="dxa"/>
              <w:right w:w="80" w:type="dxa"/>
            </w:tcMar>
            <w:vAlign w:val="center"/>
          </w:tcPr>
          <w:p w14:paraId="2536B515" w14:textId="77777777" w:rsidR="007A2869" w:rsidRDefault="00000000">
            <w:pPr>
              <w:jc w:val="right"/>
            </w:pPr>
            <w:r>
              <w:rPr>
                <w:sz w:val="20"/>
                <w:szCs w:val="20"/>
              </w:rPr>
              <w:t>24.8</w:t>
            </w:r>
          </w:p>
        </w:tc>
        <w:tc>
          <w:tcPr>
            <w:tcW w:w="900" w:type="dxa"/>
            <w:tcBorders>
              <w:top w:val="nil"/>
              <w:left w:val="nil"/>
              <w:bottom w:val="nil"/>
              <w:right w:val="nil"/>
            </w:tcBorders>
            <w:tcMar>
              <w:top w:w="60" w:type="dxa"/>
              <w:left w:w="80" w:type="dxa"/>
              <w:bottom w:w="60" w:type="dxa"/>
              <w:right w:w="80" w:type="dxa"/>
            </w:tcMar>
            <w:vAlign w:val="center"/>
          </w:tcPr>
          <w:p w14:paraId="2536B516" w14:textId="77777777" w:rsidR="007A2869" w:rsidRDefault="00000000">
            <w:pPr>
              <w:jc w:val="right"/>
            </w:pPr>
            <w:r>
              <w:rPr>
                <w:sz w:val="20"/>
                <w:szCs w:val="20"/>
              </w:rPr>
              <w:t>13.3</w:t>
            </w:r>
          </w:p>
        </w:tc>
        <w:tc>
          <w:tcPr>
            <w:tcW w:w="900" w:type="dxa"/>
            <w:tcBorders>
              <w:top w:val="nil"/>
              <w:left w:val="nil"/>
              <w:bottom w:val="nil"/>
              <w:right w:val="nil"/>
            </w:tcBorders>
            <w:tcMar>
              <w:top w:w="60" w:type="dxa"/>
              <w:left w:w="80" w:type="dxa"/>
              <w:bottom w:w="60" w:type="dxa"/>
              <w:right w:w="80" w:type="dxa"/>
            </w:tcMar>
            <w:vAlign w:val="center"/>
          </w:tcPr>
          <w:p w14:paraId="2536B517" w14:textId="77777777" w:rsidR="007A2869" w:rsidRDefault="00000000">
            <w:pPr>
              <w:jc w:val="right"/>
            </w:pPr>
            <w:r>
              <w:rPr>
                <w:sz w:val="20"/>
                <w:szCs w:val="20"/>
              </w:rPr>
              <w:t>-0.96</w:t>
            </w:r>
          </w:p>
        </w:tc>
        <w:tc>
          <w:tcPr>
            <w:tcW w:w="900" w:type="dxa"/>
            <w:tcBorders>
              <w:top w:val="nil"/>
              <w:left w:val="nil"/>
              <w:bottom w:val="nil"/>
              <w:right w:val="nil"/>
            </w:tcBorders>
            <w:tcMar>
              <w:top w:w="60" w:type="dxa"/>
              <w:left w:w="80" w:type="dxa"/>
              <w:bottom w:w="60" w:type="dxa"/>
              <w:right w:w="80" w:type="dxa"/>
            </w:tcMar>
            <w:vAlign w:val="center"/>
          </w:tcPr>
          <w:p w14:paraId="2536B518" w14:textId="77777777" w:rsidR="007A2869" w:rsidRDefault="00000000">
            <w:pPr>
              <w:jc w:val="right"/>
            </w:pPr>
            <w:r>
              <w:rPr>
                <w:sz w:val="20"/>
                <w:szCs w:val="20"/>
              </w:rPr>
              <w:t>-0.33</w:t>
            </w:r>
          </w:p>
        </w:tc>
        <w:tc>
          <w:tcPr>
            <w:tcW w:w="900" w:type="dxa"/>
            <w:tcBorders>
              <w:top w:val="nil"/>
              <w:left w:val="nil"/>
              <w:bottom w:val="nil"/>
              <w:right w:val="nil"/>
            </w:tcBorders>
            <w:tcMar>
              <w:top w:w="60" w:type="dxa"/>
              <w:left w:w="80" w:type="dxa"/>
              <w:bottom w:w="60" w:type="dxa"/>
              <w:right w:w="80" w:type="dxa"/>
            </w:tcMar>
            <w:vAlign w:val="center"/>
          </w:tcPr>
          <w:p w14:paraId="2536B519" w14:textId="77777777" w:rsidR="007A2869" w:rsidRDefault="00000000">
            <w:pPr>
              <w:jc w:val="right"/>
            </w:pPr>
            <w:r>
              <w:rPr>
                <w:sz w:val="20"/>
                <w:szCs w:val="20"/>
              </w:rPr>
              <w:t>-0.31</w:t>
            </w:r>
          </w:p>
        </w:tc>
        <w:tc>
          <w:tcPr>
            <w:tcW w:w="760" w:type="dxa"/>
            <w:tcBorders>
              <w:top w:val="nil"/>
              <w:left w:val="nil"/>
              <w:bottom w:val="nil"/>
              <w:right w:val="nil"/>
            </w:tcBorders>
            <w:tcMar>
              <w:top w:w="60" w:type="dxa"/>
              <w:left w:w="80" w:type="dxa"/>
              <w:bottom w:w="60" w:type="dxa"/>
              <w:right w:w="80" w:type="dxa"/>
            </w:tcMar>
            <w:vAlign w:val="center"/>
          </w:tcPr>
          <w:p w14:paraId="2536B51A" w14:textId="77777777" w:rsidR="007A2869" w:rsidRDefault="00000000">
            <w:pPr>
              <w:jc w:val="right"/>
            </w:pPr>
            <w:r>
              <w:rPr>
                <w:sz w:val="20"/>
                <w:szCs w:val="20"/>
              </w:rPr>
              <w:t>-1.31</w:t>
            </w:r>
          </w:p>
        </w:tc>
      </w:tr>
      <w:tr w:rsidR="007A2869" w14:paraId="2536B524" w14:textId="77777777">
        <w:tblPrEx>
          <w:tblCellMar>
            <w:top w:w="0" w:type="dxa"/>
            <w:bottom w:w="0" w:type="dxa"/>
          </w:tblCellMar>
        </w:tblPrEx>
        <w:tc>
          <w:tcPr>
            <w:tcW w:w="1400" w:type="dxa"/>
            <w:tcBorders>
              <w:top w:val="nil"/>
              <w:left w:val="nil"/>
              <w:bottom w:val="nil"/>
              <w:right w:val="nil"/>
            </w:tcBorders>
            <w:tcMar>
              <w:top w:w="60" w:type="dxa"/>
              <w:left w:w="80" w:type="dxa"/>
              <w:bottom w:w="60" w:type="dxa"/>
              <w:right w:w="80" w:type="dxa"/>
            </w:tcMar>
            <w:vAlign w:val="center"/>
          </w:tcPr>
          <w:p w14:paraId="2536B51C" w14:textId="77777777" w:rsidR="007A2869" w:rsidRDefault="00000000">
            <w:r>
              <w:rPr>
                <w:sz w:val="20"/>
                <w:szCs w:val="20"/>
              </w:rPr>
              <w:t>1</w:t>
            </w:r>
          </w:p>
        </w:tc>
        <w:tc>
          <w:tcPr>
            <w:tcW w:w="2200" w:type="dxa"/>
            <w:tcBorders>
              <w:top w:val="nil"/>
              <w:left w:val="nil"/>
              <w:bottom w:val="nil"/>
              <w:right w:val="nil"/>
            </w:tcBorders>
            <w:tcMar>
              <w:top w:w="60" w:type="dxa"/>
              <w:left w:w="80" w:type="dxa"/>
              <w:bottom w:w="60" w:type="dxa"/>
              <w:right w:w="80" w:type="dxa"/>
            </w:tcMar>
            <w:vAlign w:val="center"/>
          </w:tcPr>
          <w:p w14:paraId="2536B51D" w14:textId="77777777" w:rsidR="007A2869" w:rsidRDefault="00000000">
            <w:r>
              <w:rPr>
                <w:sz w:val="20"/>
                <w:szCs w:val="20"/>
              </w:rPr>
              <w:t>Risk-on / Expansion</w:t>
            </w:r>
          </w:p>
        </w:tc>
        <w:tc>
          <w:tcPr>
            <w:tcW w:w="800" w:type="dxa"/>
            <w:tcBorders>
              <w:top w:val="nil"/>
              <w:left w:val="nil"/>
              <w:bottom w:val="nil"/>
              <w:right w:val="nil"/>
            </w:tcBorders>
            <w:tcMar>
              <w:top w:w="60" w:type="dxa"/>
              <w:left w:w="80" w:type="dxa"/>
              <w:bottom w:w="60" w:type="dxa"/>
              <w:right w:w="80" w:type="dxa"/>
            </w:tcMar>
            <w:vAlign w:val="center"/>
          </w:tcPr>
          <w:p w14:paraId="2536B51E" w14:textId="77777777" w:rsidR="007A2869" w:rsidRDefault="00000000">
            <w:pPr>
              <w:jc w:val="right"/>
            </w:pPr>
            <w:r>
              <w:rPr>
                <w:sz w:val="20"/>
                <w:szCs w:val="20"/>
              </w:rPr>
              <w:t>28.5</w:t>
            </w:r>
          </w:p>
        </w:tc>
        <w:tc>
          <w:tcPr>
            <w:tcW w:w="900" w:type="dxa"/>
            <w:tcBorders>
              <w:top w:val="nil"/>
              <w:left w:val="nil"/>
              <w:bottom w:val="nil"/>
              <w:right w:val="nil"/>
            </w:tcBorders>
            <w:tcMar>
              <w:top w:w="60" w:type="dxa"/>
              <w:left w:w="80" w:type="dxa"/>
              <w:bottom w:w="60" w:type="dxa"/>
              <w:right w:w="80" w:type="dxa"/>
            </w:tcMar>
            <w:vAlign w:val="center"/>
          </w:tcPr>
          <w:p w14:paraId="2536B51F" w14:textId="77777777" w:rsidR="007A2869" w:rsidRDefault="00000000">
            <w:pPr>
              <w:jc w:val="right"/>
            </w:pPr>
            <w:r>
              <w:rPr>
                <w:sz w:val="20"/>
                <w:szCs w:val="20"/>
              </w:rPr>
              <w:t>18.8</w:t>
            </w:r>
          </w:p>
        </w:tc>
        <w:tc>
          <w:tcPr>
            <w:tcW w:w="900" w:type="dxa"/>
            <w:tcBorders>
              <w:top w:val="nil"/>
              <w:left w:val="nil"/>
              <w:bottom w:val="nil"/>
              <w:right w:val="nil"/>
            </w:tcBorders>
            <w:tcMar>
              <w:top w:w="60" w:type="dxa"/>
              <w:left w:w="80" w:type="dxa"/>
              <w:bottom w:w="60" w:type="dxa"/>
              <w:right w:w="80" w:type="dxa"/>
            </w:tcMar>
            <w:vAlign w:val="center"/>
          </w:tcPr>
          <w:p w14:paraId="2536B520" w14:textId="77777777" w:rsidR="007A2869" w:rsidRDefault="00000000">
            <w:pPr>
              <w:jc w:val="right"/>
            </w:pPr>
            <w:r>
              <w:rPr>
                <w:sz w:val="20"/>
                <w:szCs w:val="20"/>
              </w:rPr>
              <w:t>-0.59</w:t>
            </w:r>
          </w:p>
        </w:tc>
        <w:tc>
          <w:tcPr>
            <w:tcW w:w="900" w:type="dxa"/>
            <w:tcBorders>
              <w:top w:val="nil"/>
              <w:left w:val="nil"/>
              <w:bottom w:val="nil"/>
              <w:right w:val="nil"/>
            </w:tcBorders>
            <w:tcMar>
              <w:top w:w="60" w:type="dxa"/>
              <w:left w:w="80" w:type="dxa"/>
              <w:bottom w:w="60" w:type="dxa"/>
              <w:right w:w="80" w:type="dxa"/>
            </w:tcMar>
            <w:vAlign w:val="center"/>
          </w:tcPr>
          <w:p w14:paraId="2536B521" w14:textId="77777777" w:rsidR="007A2869" w:rsidRDefault="00000000">
            <w:pPr>
              <w:jc w:val="right"/>
            </w:pPr>
            <w:r>
              <w:rPr>
                <w:sz w:val="20"/>
                <w:szCs w:val="20"/>
              </w:rPr>
              <w:t>+1.49</w:t>
            </w:r>
          </w:p>
        </w:tc>
        <w:tc>
          <w:tcPr>
            <w:tcW w:w="900" w:type="dxa"/>
            <w:tcBorders>
              <w:top w:val="nil"/>
              <w:left w:val="nil"/>
              <w:bottom w:val="nil"/>
              <w:right w:val="nil"/>
            </w:tcBorders>
            <w:tcMar>
              <w:top w:w="60" w:type="dxa"/>
              <w:left w:w="80" w:type="dxa"/>
              <w:bottom w:w="60" w:type="dxa"/>
              <w:right w:w="80" w:type="dxa"/>
            </w:tcMar>
            <w:vAlign w:val="center"/>
          </w:tcPr>
          <w:p w14:paraId="2536B522" w14:textId="77777777" w:rsidR="007A2869" w:rsidRDefault="00000000">
            <w:pPr>
              <w:jc w:val="right"/>
            </w:pPr>
            <w:r>
              <w:rPr>
                <w:sz w:val="20"/>
                <w:szCs w:val="20"/>
              </w:rPr>
              <w:t>-0.57</w:t>
            </w:r>
          </w:p>
        </w:tc>
        <w:tc>
          <w:tcPr>
            <w:tcW w:w="760" w:type="dxa"/>
            <w:tcBorders>
              <w:top w:val="nil"/>
              <w:left w:val="nil"/>
              <w:bottom w:val="nil"/>
              <w:right w:val="nil"/>
            </w:tcBorders>
            <w:tcMar>
              <w:top w:w="60" w:type="dxa"/>
              <w:left w:w="80" w:type="dxa"/>
              <w:bottom w:w="60" w:type="dxa"/>
              <w:right w:w="80" w:type="dxa"/>
            </w:tcMar>
            <w:vAlign w:val="center"/>
          </w:tcPr>
          <w:p w14:paraId="2536B523" w14:textId="77777777" w:rsidR="007A2869" w:rsidRDefault="00000000">
            <w:pPr>
              <w:jc w:val="right"/>
            </w:pPr>
            <w:r>
              <w:rPr>
                <w:sz w:val="20"/>
                <w:szCs w:val="20"/>
              </w:rPr>
              <w:t>+0.70</w:t>
            </w:r>
          </w:p>
        </w:tc>
      </w:tr>
      <w:tr w:rsidR="007A2869" w14:paraId="2536B52D" w14:textId="77777777">
        <w:tblPrEx>
          <w:tblCellMar>
            <w:top w:w="0" w:type="dxa"/>
            <w:bottom w:w="0" w:type="dxa"/>
          </w:tblCellMar>
        </w:tblPrEx>
        <w:tc>
          <w:tcPr>
            <w:tcW w:w="1400" w:type="dxa"/>
            <w:tcBorders>
              <w:top w:val="nil"/>
              <w:left w:val="nil"/>
              <w:bottom w:val="nil"/>
              <w:right w:val="nil"/>
            </w:tcBorders>
            <w:tcMar>
              <w:top w:w="60" w:type="dxa"/>
              <w:left w:w="80" w:type="dxa"/>
              <w:bottom w:w="60" w:type="dxa"/>
              <w:right w:w="80" w:type="dxa"/>
            </w:tcMar>
            <w:vAlign w:val="center"/>
          </w:tcPr>
          <w:p w14:paraId="2536B525" w14:textId="77777777" w:rsidR="007A2869" w:rsidRDefault="00000000">
            <w:r>
              <w:rPr>
                <w:sz w:val="20"/>
                <w:szCs w:val="20"/>
              </w:rPr>
              <w:t>2</w:t>
            </w:r>
          </w:p>
        </w:tc>
        <w:tc>
          <w:tcPr>
            <w:tcW w:w="2200" w:type="dxa"/>
            <w:tcBorders>
              <w:top w:val="nil"/>
              <w:left w:val="nil"/>
              <w:bottom w:val="nil"/>
              <w:right w:val="nil"/>
            </w:tcBorders>
            <w:tcMar>
              <w:top w:w="60" w:type="dxa"/>
              <w:left w:w="80" w:type="dxa"/>
              <w:bottom w:w="60" w:type="dxa"/>
              <w:right w:w="80" w:type="dxa"/>
            </w:tcMar>
            <w:vAlign w:val="center"/>
          </w:tcPr>
          <w:p w14:paraId="2536B526" w14:textId="77777777" w:rsidR="007A2869" w:rsidRDefault="00000000">
            <w:r>
              <w:rPr>
                <w:sz w:val="20"/>
                <w:szCs w:val="20"/>
              </w:rPr>
              <w:t>Neutral / Moderate</w:t>
            </w:r>
          </w:p>
        </w:tc>
        <w:tc>
          <w:tcPr>
            <w:tcW w:w="800" w:type="dxa"/>
            <w:tcBorders>
              <w:top w:val="nil"/>
              <w:left w:val="nil"/>
              <w:bottom w:val="nil"/>
              <w:right w:val="nil"/>
            </w:tcBorders>
            <w:tcMar>
              <w:top w:w="60" w:type="dxa"/>
              <w:left w:w="80" w:type="dxa"/>
              <w:bottom w:w="60" w:type="dxa"/>
              <w:right w:w="80" w:type="dxa"/>
            </w:tcMar>
            <w:vAlign w:val="center"/>
          </w:tcPr>
          <w:p w14:paraId="2536B527" w14:textId="77777777" w:rsidR="007A2869" w:rsidRDefault="00000000">
            <w:pPr>
              <w:jc w:val="right"/>
            </w:pPr>
            <w:r>
              <w:rPr>
                <w:sz w:val="20"/>
                <w:szCs w:val="20"/>
              </w:rPr>
              <w:t>26.9</w:t>
            </w:r>
          </w:p>
        </w:tc>
        <w:tc>
          <w:tcPr>
            <w:tcW w:w="900" w:type="dxa"/>
            <w:tcBorders>
              <w:top w:val="nil"/>
              <w:left w:val="nil"/>
              <w:bottom w:val="nil"/>
              <w:right w:val="nil"/>
            </w:tcBorders>
            <w:tcMar>
              <w:top w:w="60" w:type="dxa"/>
              <w:left w:w="80" w:type="dxa"/>
              <w:bottom w:w="60" w:type="dxa"/>
              <w:right w:w="80" w:type="dxa"/>
            </w:tcMar>
            <w:vAlign w:val="center"/>
          </w:tcPr>
          <w:p w14:paraId="2536B528" w14:textId="77777777" w:rsidR="007A2869" w:rsidRDefault="00000000">
            <w:pPr>
              <w:jc w:val="right"/>
            </w:pPr>
            <w:r>
              <w:rPr>
                <w:sz w:val="20"/>
                <w:szCs w:val="20"/>
              </w:rPr>
              <w:t>7.9</w:t>
            </w:r>
          </w:p>
        </w:tc>
        <w:tc>
          <w:tcPr>
            <w:tcW w:w="900" w:type="dxa"/>
            <w:tcBorders>
              <w:top w:val="nil"/>
              <w:left w:val="nil"/>
              <w:bottom w:val="nil"/>
              <w:right w:val="nil"/>
            </w:tcBorders>
            <w:tcMar>
              <w:top w:w="60" w:type="dxa"/>
              <w:left w:w="80" w:type="dxa"/>
              <w:bottom w:w="60" w:type="dxa"/>
              <w:right w:w="80" w:type="dxa"/>
            </w:tcMar>
            <w:vAlign w:val="center"/>
          </w:tcPr>
          <w:p w14:paraId="2536B529" w14:textId="77777777" w:rsidR="007A2869" w:rsidRDefault="00000000">
            <w:pPr>
              <w:jc w:val="right"/>
            </w:pPr>
            <w:r>
              <w:rPr>
                <w:sz w:val="20"/>
                <w:szCs w:val="20"/>
              </w:rPr>
              <w:t>+0.05</w:t>
            </w:r>
          </w:p>
        </w:tc>
        <w:tc>
          <w:tcPr>
            <w:tcW w:w="900" w:type="dxa"/>
            <w:tcBorders>
              <w:top w:val="nil"/>
              <w:left w:val="nil"/>
              <w:bottom w:val="nil"/>
              <w:right w:val="nil"/>
            </w:tcBorders>
            <w:tcMar>
              <w:top w:w="60" w:type="dxa"/>
              <w:left w:w="80" w:type="dxa"/>
              <w:bottom w:w="60" w:type="dxa"/>
              <w:right w:w="80" w:type="dxa"/>
            </w:tcMar>
            <w:vAlign w:val="center"/>
          </w:tcPr>
          <w:p w14:paraId="2536B52A" w14:textId="77777777" w:rsidR="007A2869" w:rsidRDefault="00000000">
            <w:pPr>
              <w:jc w:val="right"/>
            </w:pPr>
            <w:r>
              <w:rPr>
                <w:sz w:val="20"/>
                <w:szCs w:val="20"/>
              </w:rPr>
              <w:t>-0.73</w:t>
            </w:r>
          </w:p>
        </w:tc>
        <w:tc>
          <w:tcPr>
            <w:tcW w:w="900" w:type="dxa"/>
            <w:tcBorders>
              <w:top w:val="nil"/>
              <w:left w:val="nil"/>
              <w:bottom w:val="nil"/>
              <w:right w:val="nil"/>
            </w:tcBorders>
            <w:tcMar>
              <w:top w:w="60" w:type="dxa"/>
              <w:left w:w="80" w:type="dxa"/>
              <w:bottom w:w="60" w:type="dxa"/>
              <w:right w:w="80" w:type="dxa"/>
            </w:tcMar>
            <w:vAlign w:val="center"/>
          </w:tcPr>
          <w:p w14:paraId="2536B52B" w14:textId="77777777" w:rsidR="007A2869" w:rsidRDefault="00000000">
            <w:pPr>
              <w:jc w:val="right"/>
            </w:pPr>
            <w:r>
              <w:rPr>
                <w:sz w:val="20"/>
                <w:szCs w:val="20"/>
              </w:rPr>
              <w:t>+0.15</w:t>
            </w:r>
          </w:p>
        </w:tc>
        <w:tc>
          <w:tcPr>
            <w:tcW w:w="760" w:type="dxa"/>
            <w:tcBorders>
              <w:top w:val="nil"/>
              <w:left w:val="nil"/>
              <w:bottom w:val="nil"/>
              <w:right w:val="nil"/>
            </w:tcBorders>
            <w:tcMar>
              <w:top w:w="60" w:type="dxa"/>
              <w:left w:w="80" w:type="dxa"/>
              <w:bottom w:w="60" w:type="dxa"/>
              <w:right w:w="80" w:type="dxa"/>
            </w:tcMar>
            <w:vAlign w:val="center"/>
          </w:tcPr>
          <w:p w14:paraId="2536B52C" w14:textId="77777777" w:rsidR="007A2869" w:rsidRDefault="00000000">
            <w:pPr>
              <w:jc w:val="right"/>
            </w:pPr>
            <w:r>
              <w:rPr>
                <w:sz w:val="20"/>
                <w:szCs w:val="20"/>
              </w:rPr>
              <w:t>-0.36</w:t>
            </w:r>
          </w:p>
        </w:tc>
      </w:tr>
      <w:tr w:rsidR="007A2869" w14:paraId="2536B536" w14:textId="77777777">
        <w:tblPrEx>
          <w:tblCellMar>
            <w:top w:w="0" w:type="dxa"/>
            <w:bottom w:w="0" w:type="dxa"/>
          </w:tblCellMar>
        </w:tblPrEx>
        <w:tc>
          <w:tcPr>
            <w:tcW w:w="14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2E" w14:textId="77777777" w:rsidR="007A2869" w:rsidRDefault="00000000">
            <w:r>
              <w:rPr>
                <w:sz w:val="20"/>
                <w:szCs w:val="20"/>
              </w:rPr>
              <w:t>3</w:t>
            </w:r>
          </w:p>
        </w:tc>
        <w:tc>
          <w:tcPr>
            <w:tcW w:w="22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2F" w14:textId="77777777" w:rsidR="007A2869" w:rsidRDefault="00000000">
            <w:r>
              <w:rPr>
                <w:sz w:val="20"/>
                <w:szCs w:val="20"/>
              </w:rPr>
              <w:t>Elevated-risk / Stress</w:t>
            </w:r>
          </w:p>
        </w:tc>
        <w:tc>
          <w:tcPr>
            <w:tcW w:w="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30" w14:textId="77777777" w:rsidR="007A2869" w:rsidRDefault="00000000">
            <w:pPr>
              <w:jc w:val="right"/>
            </w:pPr>
            <w:r>
              <w:rPr>
                <w:sz w:val="20"/>
                <w:szCs w:val="20"/>
              </w:rPr>
              <w:t>19.8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31" w14:textId="77777777" w:rsidR="007A2869" w:rsidRDefault="00000000">
            <w:pPr>
              <w:jc w:val="right"/>
            </w:pPr>
            <w:r>
              <w:rPr>
                <w:sz w:val="20"/>
                <w:szCs w:val="20"/>
              </w:rPr>
              <w:t>7.2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32" w14:textId="77777777" w:rsidR="007A2869" w:rsidRDefault="00000000">
            <w:pPr>
              <w:jc w:val="right"/>
            </w:pPr>
            <w:r>
              <w:rPr>
                <w:sz w:val="20"/>
                <w:szCs w:val="20"/>
              </w:rPr>
              <w:t>+1.84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33" w14:textId="77777777" w:rsidR="007A2869" w:rsidRDefault="00000000">
            <w:pPr>
              <w:jc w:val="right"/>
            </w:pPr>
            <w:r>
              <w:rPr>
                <w:sz w:val="20"/>
                <w:szCs w:val="20"/>
              </w:rPr>
              <w:t>-0.74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34" w14:textId="77777777" w:rsidR="007A2869" w:rsidRDefault="00000000">
            <w:pPr>
              <w:jc w:val="right"/>
            </w:pPr>
            <w:r>
              <w:rPr>
                <w:sz w:val="20"/>
                <w:szCs w:val="20"/>
              </w:rPr>
              <w:t>+0.45</w:t>
            </w:r>
          </w:p>
        </w:tc>
        <w:tc>
          <w:tcPr>
            <w:tcW w:w="7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35" w14:textId="77777777" w:rsidR="007A2869" w:rsidRDefault="00000000">
            <w:pPr>
              <w:jc w:val="right"/>
            </w:pPr>
            <w:r>
              <w:rPr>
                <w:sz w:val="20"/>
                <w:szCs w:val="20"/>
              </w:rPr>
              <w:t>+0.10</w:t>
            </w:r>
          </w:p>
        </w:tc>
      </w:tr>
    </w:tbl>
    <w:p w14:paraId="2536B537" w14:textId="77777777" w:rsidR="007A2869" w:rsidRDefault="007A2869">
      <w:pPr>
        <w:spacing w:line="480" w:lineRule="auto"/>
      </w:pPr>
    </w:p>
    <w:p w14:paraId="2536B538" w14:textId="77777777" w:rsidR="007A2869" w:rsidRDefault="00000000">
      <w:pPr>
        <w:keepNext/>
        <w:spacing w:before="480" w:line="300" w:lineRule="auto"/>
      </w:pPr>
      <w:r>
        <w:rPr>
          <w:b/>
          <w:bCs/>
          <w:sz w:val="22"/>
          <w:szCs w:val="22"/>
        </w:rPr>
        <w:lastRenderedPageBreak/>
        <w:t>FIGURE 1</w:t>
      </w:r>
    </w:p>
    <w:p w14:paraId="2536B539" w14:textId="77777777" w:rsidR="007A2869" w:rsidRDefault="00000000">
      <w:pPr>
        <w:keepNext/>
        <w:spacing w:after="60" w:line="300" w:lineRule="auto"/>
      </w:pPr>
      <w:r>
        <w:rPr>
          <w:sz w:val="22"/>
          <w:szCs w:val="22"/>
        </w:rPr>
        <w:t>Full-Sample Regime Timeline, 2000 to 2026</w:t>
      </w:r>
    </w:p>
    <w:p w14:paraId="2536B53A" w14:textId="77777777" w:rsidR="007A2869" w:rsidRDefault="00000000">
      <w:pPr>
        <w:keepNext/>
        <w:spacing w:before="60" w:after="120" w:line="276" w:lineRule="auto"/>
      </w:pPr>
      <w:r>
        <w:rPr>
          <w:sz w:val="18"/>
          <w:szCs w:val="18"/>
        </w:rPr>
        <w:t>Four-state HMM state sequence estimated on the full sample (in-sample, descriptive purposes only). States ordered by ascending mean z52_VIX: State 0 (Low-vol / Subdued), State 1 (Risk-on / Expansion), State 2 (Neutral / Moderate), State 3 (Elevated-risk / Stress). This figure uses full-sample labels and is never used in portfolio return calculations; all portfolio construction uses strictly OOS walk-forward labels.</w:t>
      </w:r>
    </w:p>
    <w:p w14:paraId="2536B53B" w14:textId="77777777" w:rsidR="007A2869" w:rsidRDefault="00000000">
      <w:pPr>
        <w:spacing w:before="120" w:after="120"/>
        <w:jc w:val="center"/>
      </w:pPr>
      <w:r>
        <w:rPr>
          <w:noProof/>
        </w:rPr>
        <w:drawing>
          <wp:inline distT="0" distB="0" distL="0" distR="0" wp14:anchorId="2536B898" wp14:editId="2536B899">
            <wp:extent cx="5943600" cy="3990975"/>
            <wp:effectExtent l="0" t="0" r="0" b="0"/>
            <wp:docPr id="1" name="Figure 1 Full-Sample Regime Timeline" descr="Figure 1 Full-Sample Regime Timeline" title="Figure 1 Full-Sample Regim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990975"/>
                    </a:xfrm>
                    <a:prstGeom prst="rect">
                      <a:avLst/>
                    </a:prstGeom>
                  </pic:spPr>
                </pic:pic>
              </a:graphicData>
            </a:graphic>
          </wp:inline>
        </w:drawing>
      </w:r>
    </w:p>
    <w:p w14:paraId="2536B53C" w14:textId="77777777" w:rsidR="007A2869" w:rsidRDefault="007A2869">
      <w:pPr>
        <w:spacing w:line="480" w:lineRule="auto"/>
      </w:pPr>
    </w:p>
    <w:p w14:paraId="2536B53D" w14:textId="77777777" w:rsidR="007A2869" w:rsidRDefault="00000000">
      <w:pPr>
        <w:spacing w:before="480" w:after="240" w:line="480" w:lineRule="auto"/>
        <w:jc w:val="center"/>
      </w:pPr>
      <w:r>
        <w:t>IV. BASELINE RESULTS</w:t>
      </w:r>
    </w:p>
    <w:p w14:paraId="2536B53E" w14:textId="77777777" w:rsidR="007A2869" w:rsidRDefault="00000000">
      <w:pPr>
        <w:spacing w:before="240" w:after="120" w:line="480" w:lineRule="auto"/>
      </w:pPr>
      <w:r>
        <w:rPr>
          <w:i/>
          <w:iCs/>
        </w:rPr>
        <w:t>A. Panel A: Long-Horizon Evidence, 2003 to 2026</w:t>
      </w:r>
    </w:p>
    <w:p w14:paraId="2536B53F" w14:textId="77777777" w:rsidR="007A2869" w:rsidRDefault="00000000">
      <w:pPr>
        <w:spacing w:line="480" w:lineRule="auto"/>
        <w:ind w:firstLine="720"/>
        <w:jc w:val="both"/>
      </w:pPr>
      <w:r>
        <w:t xml:space="preserve">Table III reports Panel A performance metrics for the four non-regime strategies over 1,213 weeks. Static CVaR has the highest Sharpe ratio (0.513), supported by a 95% bootstrap confidence </w:t>
      </w:r>
      <w:r>
        <w:lastRenderedPageBreak/>
        <w:t>interval of [0.101, 0.987], the only strategy with an individual CI lower bound firmly above zero, although pairwise strategy differences remain statistically indistinguishable. Maximum drawdown is -39.5%, materially lower than the equal-weight benchmark (-50.1%) and the STOXX Europe 600 single-asset benchmark (-60.2%). The risk reduction is attributable to the CVaR LP systematically avoiding the highest-tail-risk assets: over the evaluation period, gold and Bloomberg Commodity together attract approximately 50% of portfolio weight, acting as tail-risk dampeners in the absence of fixed income.</w:t>
      </w:r>
    </w:p>
    <w:p w14:paraId="2536B540" w14:textId="77777777" w:rsidR="007A2869" w:rsidRDefault="007A2869">
      <w:pPr>
        <w:spacing w:line="480" w:lineRule="auto"/>
      </w:pPr>
    </w:p>
    <w:p w14:paraId="2536B541" w14:textId="77777777" w:rsidR="007A2869" w:rsidRDefault="00000000">
      <w:pPr>
        <w:spacing w:line="480" w:lineRule="auto"/>
        <w:ind w:firstLine="720"/>
        <w:jc w:val="both"/>
      </w:pPr>
      <w:r>
        <w:t>Markowitz (Min-Var) achieves a Sharpe of 0.409 with the lowest annualized volatility (12.0%) but a higher maximum drawdown (-45.6%) than Static CVaR, reflecting the difference between variance and tail-risk minimization objectives. Neither Static CVaR nor Markowitz generates a statistically significant mean excess return differential over the equal-weight benchmark at conventional levels (HAC t-statistics: 0.551 and -0.584, respectively), consistent with the limited power of 1,213-week samples for detecting realistic alpha differences.</w:t>
      </w:r>
    </w:p>
    <w:p w14:paraId="2536B542" w14:textId="77777777" w:rsidR="007A2869" w:rsidRDefault="007A2869">
      <w:pPr>
        <w:spacing w:line="480" w:lineRule="auto"/>
      </w:pPr>
    </w:p>
    <w:p w14:paraId="2536B543" w14:textId="77777777" w:rsidR="007A2869" w:rsidRDefault="00000000">
      <w:pPr>
        <w:spacing w:line="480" w:lineRule="auto"/>
        <w:ind w:firstLine="720"/>
        <w:jc w:val="both"/>
      </w:pPr>
      <w:r>
        <w:t>Transaction-cost sensitivity is minimal for Static CVaR: Sharpe declines from 0.513 at 0 bps to 0.508 at 25 bps, reflecting annual turnover of only 24.9%. This structural stability is a direct consequence of the regime-unconditional scenario set changing only gradually as new weekly observations are added.</w:t>
      </w:r>
    </w:p>
    <w:p w14:paraId="2536B544" w14:textId="77777777" w:rsidR="007A2869" w:rsidRDefault="007A2869">
      <w:pPr>
        <w:spacing w:line="480" w:lineRule="auto"/>
      </w:pPr>
    </w:p>
    <w:p w14:paraId="2536B545" w14:textId="77777777" w:rsidR="007A2869" w:rsidRDefault="00000000">
      <w:pPr>
        <w:keepNext/>
        <w:spacing w:before="480" w:line="300" w:lineRule="auto"/>
      </w:pPr>
      <w:r>
        <w:rPr>
          <w:b/>
          <w:bCs/>
          <w:sz w:val="22"/>
          <w:szCs w:val="22"/>
        </w:rPr>
        <w:lastRenderedPageBreak/>
        <w:t>TABLE III</w:t>
      </w:r>
    </w:p>
    <w:p w14:paraId="2536B546" w14:textId="77777777" w:rsidR="007A2869" w:rsidRDefault="00000000">
      <w:pPr>
        <w:keepNext/>
        <w:spacing w:after="60" w:line="300" w:lineRule="auto"/>
      </w:pPr>
      <w:r>
        <w:rPr>
          <w:sz w:val="22"/>
          <w:szCs w:val="22"/>
        </w:rPr>
        <w:t>Panel A Performance: Long-Horizon Evaluation, 2003 to 2026</w:t>
      </w:r>
    </w:p>
    <w:p w14:paraId="2536B547" w14:textId="77777777" w:rsidR="007A2869" w:rsidRDefault="00000000">
      <w:pPr>
        <w:keepNext/>
        <w:spacing w:before="60" w:after="120" w:line="276" w:lineRule="auto"/>
      </w:pPr>
      <w:r>
        <w:rPr>
          <w:sz w:val="18"/>
          <w:szCs w:val="18"/>
        </w:rPr>
        <w:t>Weekly simple returns, 1,213 observations (January 10, 2003 to April 3, 2026). Gross performance at 0 bps transaction costs. Annualization factor 52. CAGR = compound annual growth rate. Vol = annualized standard deviation. Sharpe = (mean excess weekly return / SD excess) * sqrt(52), where excess is relative to EURIBOR 3M. MaxDD = peak-to-trough maximum drawdown. CVaR 95% = average of worst 5% weekly returns. Calmar = CAGR/|MaxDD|. Ann. TO = annualized one-way portfolio turnover. Bootstrap 95% CI uses circular block bootstrap, block = 13 weeks, 10,000 draws; CIs report individual strategy Sharpe uncertainty, not pairwise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998"/>
        <w:gridCol w:w="890"/>
        <w:gridCol w:w="895"/>
        <w:gridCol w:w="1038"/>
        <w:gridCol w:w="1094"/>
        <w:gridCol w:w="945"/>
        <w:gridCol w:w="1348"/>
      </w:tblGrid>
      <w:tr w:rsidR="007A2869" w14:paraId="2536B550" w14:textId="77777777">
        <w:tblPrEx>
          <w:tblCellMar>
            <w:top w:w="0" w:type="dxa"/>
            <w:bottom w:w="0" w:type="dxa"/>
          </w:tblCellMar>
        </w:tblPrEx>
        <w:trPr>
          <w:tblHeader/>
        </w:trPr>
        <w:tc>
          <w:tcPr>
            <w:tcW w:w="22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48" w14:textId="77777777" w:rsidR="007A2869" w:rsidRDefault="00000000">
            <w:r>
              <w:rPr>
                <w:b/>
                <w:bCs/>
                <w:sz w:val="20"/>
                <w:szCs w:val="20"/>
              </w:rPr>
              <w:t>Strategy</w:t>
            </w:r>
          </w:p>
        </w:tc>
        <w:tc>
          <w:tcPr>
            <w:tcW w:w="1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49" w14:textId="77777777" w:rsidR="007A2869" w:rsidRDefault="00000000">
            <w:pPr>
              <w:jc w:val="right"/>
            </w:pPr>
            <w:r>
              <w:rPr>
                <w:b/>
                <w:bCs/>
                <w:sz w:val="20"/>
                <w:szCs w:val="20"/>
              </w:rPr>
              <w:t>CAGR%</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4A" w14:textId="77777777" w:rsidR="007A2869" w:rsidRDefault="00000000">
            <w:pPr>
              <w:jc w:val="right"/>
            </w:pPr>
            <w:r>
              <w:rPr>
                <w:b/>
                <w:bCs/>
                <w:sz w:val="20"/>
                <w:szCs w:val="20"/>
              </w:rPr>
              <w:t>Vol%</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4B" w14:textId="77777777" w:rsidR="007A2869" w:rsidRDefault="00000000">
            <w:pPr>
              <w:jc w:val="right"/>
            </w:pPr>
            <w:r>
              <w:rPr>
                <w:b/>
                <w:bCs/>
                <w:sz w:val="20"/>
                <w:szCs w:val="20"/>
              </w:rPr>
              <w:t>Sharpe</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4C" w14:textId="77777777" w:rsidR="007A2869" w:rsidRDefault="00000000">
            <w:pPr>
              <w:jc w:val="right"/>
            </w:pPr>
            <w:r>
              <w:rPr>
                <w:b/>
                <w:bCs/>
                <w:sz w:val="20"/>
                <w:szCs w:val="20"/>
              </w:rPr>
              <w:t>MaxDD%</w:t>
            </w:r>
          </w:p>
        </w:tc>
        <w:tc>
          <w:tcPr>
            <w:tcW w:w="95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4D" w14:textId="77777777" w:rsidR="007A2869" w:rsidRDefault="00000000">
            <w:pPr>
              <w:jc w:val="right"/>
            </w:pPr>
            <w:r>
              <w:rPr>
                <w:b/>
                <w:bCs/>
                <w:sz w:val="20"/>
                <w:szCs w:val="20"/>
              </w:rPr>
              <w:t>CVaR95%</w:t>
            </w:r>
          </w:p>
        </w:tc>
        <w:tc>
          <w:tcPr>
            <w:tcW w:w="95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4E" w14:textId="77777777" w:rsidR="007A2869" w:rsidRDefault="00000000">
            <w:pPr>
              <w:jc w:val="right"/>
            </w:pPr>
            <w:r>
              <w:rPr>
                <w:b/>
                <w:bCs/>
                <w:sz w:val="20"/>
                <w:szCs w:val="20"/>
              </w:rPr>
              <w:t>Calmar</w:t>
            </w:r>
          </w:p>
        </w:tc>
        <w:tc>
          <w:tcPr>
            <w:tcW w:w="13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4F" w14:textId="77777777" w:rsidR="007A2869" w:rsidRDefault="00000000">
            <w:pPr>
              <w:jc w:val="right"/>
            </w:pPr>
            <w:r>
              <w:rPr>
                <w:b/>
                <w:bCs/>
                <w:sz w:val="20"/>
                <w:szCs w:val="20"/>
              </w:rPr>
              <w:t>Ann.TO%</w:t>
            </w:r>
          </w:p>
        </w:tc>
      </w:tr>
      <w:tr w:rsidR="007A2869" w14:paraId="2536B559"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2536B551" w14:textId="77777777" w:rsidR="007A2869" w:rsidRDefault="00000000">
            <w:r>
              <w:rPr>
                <w:sz w:val="20"/>
                <w:szCs w:val="20"/>
              </w:rPr>
              <w:t>Equal-Weight Risky (1/N)</w:t>
            </w:r>
          </w:p>
        </w:tc>
        <w:tc>
          <w:tcPr>
            <w:tcW w:w="1000" w:type="dxa"/>
            <w:tcBorders>
              <w:top w:val="nil"/>
              <w:left w:val="nil"/>
              <w:bottom w:val="nil"/>
              <w:right w:val="nil"/>
            </w:tcBorders>
            <w:tcMar>
              <w:top w:w="60" w:type="dxa"/>
              <w:left w:w="80" w:type="dxa"/>
              <w:bottom w:w="60" w:type="dxa"/>
              <w:right w:w="80" w:type="dxa"/>
            </w:tcMar>
            <w:vAlign w:val="center"/>
          </w:tcPr>
          <w:p w14:paraId="2536B552" w14:textId="77777777" w:rsidR="007A2869" w:rsidRDefault="00000000">
            <w:pPr>
              <w:jc w:val="right"/>
            </w:pPr>
            <w:r>
              <w:rPr>
                <w:sz w:val="20"/>
                <w:szCs w:val="20"/>
              </w:rPr>
              <w:t>5.89</w:t>
            </w:r>
          </w:p>
        </w:tc>
        <w:tc>
          <w:tcPr>
            <w:tcW w:w="900" w:type="dxa"/>
            <w:tcBorders>
              <w:top w:val="nil"/>
              <w:left w:val="nil"/>
              <w:bottom w:val="nil"/>
              <w:right w:val="nil"/>
            </w:tcBorders>
            <w:tcMar>
              <w:top w:w="60" w:type="dxa"/>
              <w:left w:w="80" w:type="dxa"/>
              <w:bottom w:w="60" w:type="dxa"/>
              <w:right w:w="80" w:type="dxa"/>
            </w:tcMar>
            <w:vAlign w:val="center"/>
          </w:tcPr>
          <w:p w14:paraId="2536B553" w14:textId="77777777" w:rsidR="007A2869" w:rsidRDefault="00000000">
            <w:pPr>
              <w:jc w:val="right"/>
            </w:pPr>
            <w:r>
              <w:rPr>
                <w:sz w:val="20"/>
                <w:szCs w:val="20"/>
              </w:rPr>
              <w:t>15.24</w:t>
            </w:r>
          </w:p>
        </w:tc>
        <w:tc>
          <w:tcPr>
            <w:tcW w:w="900" w:type="dxa"/>
            <w:tcBorders>
              <w:top w:val="nil"/>
              <w:left w:val="nil"/>
              <w:bottom w:val="nil"/>
              <w:right w:val="nil"/>
            </w:tcBorders>
            <w:tcMar>
              <w:top w:w="60" w:type="dxa"/>
              <w:left w:w="80" w:type="dxa"/>
              <w:bottom w:w="60" w:type="dxa"/>
              <w:right w:w="80" w:type="dxa"/>
            </w:tcMar>
            <w:vAlign w:val="center"/>
          </w:tcPr>
          <w:p w14:paraId="2536B554" w14:textId="77777777" w:rsidR="007A2869" w:rsidRDefault="00000000">
            <w:pPr>
              <w:jc w:val="right"/>
            </w:pPr>
            <w:r>
              <w:rPr>
                <w:sz w:val="20"/>
                <w:szCs w:val="20"/>
              </w:rPr>
              <w:t>0.368</w:t>
            </w:r>
          </w:p>
        </w:tc>
        <w:tc>
          <w:tcPr>
            <w:tcW w:w="900" w:type="dxa"/>
            <w:tcBorders>
              <w:top w:val="nil"/>
              <w:left w:val="nil"/>
              <w:bottom w:val="nil"/>
              <w:right w:val="nil"/>
            </w:tcBorders>
            <w:tcMar>
              <w:top w:w="60" w:type="dxa"/>
              <w:left w:w="80" w:type="dxa"/>
              <w:bottom w:w="60" w:type="dxa"/>
              <w:right w:w="80" w:type="dxa"/>
            </w:tcMar>
            <w:vAlign w:val="center"/>
          </w:tcPr>
          <w:p w14:paraId="2536B555" w14:textId="77777777" w:rsidR="007A2869" w:rsidRDefault="00000000">
            <w:pPr>
              <w:jc w:val="right"/>
            </w:pPr>
            <w:r>
              <w:rPr>
                <w:sz w:val="20"/>
                <w:szCs w:val="20"/>
              </w:rPr>
              <w:t>-50.1</w:t>
            </w:r>
          </w:p>
        </w:tc>
        <w:tc>
          <w:tcPr>
            <w:tcW w:w="950" w:type="dxa"/>
            <w:tcBorders>
              <w:top w:val="nil"/>
              <w:left w:val="nil"/>
              <w:bottom w:val="nil"/>
              <w:right w:val="nil"/>
            </w:tcBorders>
            <w:tcMar>
              <w:top w:w="60" w:type="dxa"/>
              <w:left w:w="80" w:type="dxa"/>
              <w:bottom w:w="60" w:type="dxa"/>
              <w:right w:w="80" w:type="dxa"/>
            </w:tcMar>
            <w:vAlign w:val="center"/>
          </w:tcPr>
          <w:p w14:paraId="2536B556" w14:textId="77777777" w:rsidR="007A2869" w:rsidRDefault="00000000">
            <w:pPr>
              <w:jc w:val="right"/>
            </w:pPr>
            <w:r>
              <w:rPr>
                <w:sz w:val="20"/>
                <w:szCs w:val="20"/>
              </w:rPr>
              <w:t>-5.24</w:t>
            </w:r>
          </w:p>
        </w:tc>
        <w:tc>
          <w:tcPr>
            <w:tcW w:w="950" w:type="dxa"/>
            <w:tcBorders>
              <w:top w:val="nil"/>
              <w:left w:val="nil"/>
              <w:bottom w:val="nil"/>
              <w:right w:val="nil"/>
            </w:tcBorders>
            <w:tcMar>
              <w:top w:w="60" w:type="dxa"/>
              <w:left w:w="80" w:type="dxa"/>
              <w:bottom w:w="60" w:type="dxa"/>
              <w:right w:w="80" w:type="dxa"/>
            </w:tcMar>
            <w:vAlign w:val="center"/>
          </w:tcPr>
          <w:p w14:paraId="2536B557" w14:textId="77777777" w:rsidR="007A2869" w:rsidRDefault="00000000">
            <w:pPr>
              <w:jc w:val="right"/>
            </w:pPr>
            <w:r>
              <w:rPr>
                <w:sz w:val="20"/>
                <w:szCs w:val="20"/>
              </w:rPr>
              <w:t>0.118</w:t>
            </w:r>
          </w:p>
        </w:tc>
        <w:tc>
          <w:tcPr>
            <w:tcW w:w="1360" w:type="dxa"/>
            <w:tcBorders>
              <w:top w:val="nil"/>
              <w:left w:val="nil"/>
              <w:bottom w:val="nil"/>
              <w:right w:val="nil"/>
            </w:tcBorders>
            <w:tcMar>
              <w:top w:w="60" w:type="dxa"/>
              <w:left w:w="80" w:type="dxa"/>
              <w:bottom w:w="60" w:type="dxa"/>
              <w:right w:w="80" w:type="dxa"/>
            </w:tcMar>
            <w:vAlign w:val="center"/>
          </w:tcPr>
          <w:p w14:paraId="2536B558" w14:textId="77777777" w:rsidR="007A2869" w:rsidRDefault="00000000">
            <w:pPr>
              <w:jc w:val="right"/>
            </w:pPr>
            <w:r>
              <w:rPr>
                <w:sz w:val="20"/>
                <w:szCs w:val="20"/>
              </w:rPr>
              <w:t>36.3</w:t>
            </w:r>
          </w:p>
        </w:tc>
      </w:tr>
      <w:tr w:rsidR="007A2869" w14:paraId="2536B562"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2536B55A" w14:textId="77777777" w:rsidR="007A2869" w:rsidRDefault="00000000">
            <w:r>
              <w:rPr>
                <w:sz w:val="20"/>
                <w:szCs w:val="20"/>
              </w:rPr>
              <w:t>STOXX Europe 600</w:t>
            </w:r>
          </w:p>
        </w:tc>
        <w:tc>
          <w:tcPr>
            <w:tcW w:w="1000" w:type="dxa"/>
            <w:tcBorders>
              <w:top w:val="nil"/>
              <w:left w:val="nil"/>
              <w:bottom w:val="nil"/>
              <w:right w:val="nil"/>
            </w:tcBorders>
            <w:tcMar>
              <w:top w:w="60" w:type="dxa"/>
              <w:left w:w="80" w:type="dxa"/>
              <w:bottom w:w="60" w:type="dxa"/>
              <w:right w:w="80" w:type="dxa"/>
            </w:tcMar>
            <w:vAlign w:val="center"/>
          </w:tcPr>
          <w:p w14:paraId="2536B55B" w14:textId="77777777" w:rsidR="007A2869" w:rsidRDefault="00000000">
            <w:pPr>
              <w:jc w:val="right"/>
            </w:pPr>
            <w:r>
              <w:rPr>
                <w:sz w:val="20"/>
                <w:szCs w:val="20"/>
              </w:rPr>
              <w:t>4.47</w:t>
            </w:r>
          </w:p>
        </w:tc>
        <w:tc>
          <w:tcPr>
            <w:tcW w:w="900" w:type="dxa"/>
            <w:tcBorders>
              <w:top w:val="nil"/>
              <w:left w:val="nil"/>
              <w:bottom w:val="nil"/>
              <w:right w:val="nil"/>
            </w:tcBorders>
            <w:tcMar>
              <w:top w:w="60" w:type="dxa"/>
              <w:left w:w="80" w:type="dxa"/>
              <w:bottom w:w="60" w:type="dxa"/>
              <w:right w:w="80" w:type="dxa"/>
            </w:tcMar>
            <w:vAlign w:val="center"/>
          </w:tcPr>
          <w:p w14:paraId="2536B55C" w14:textId="77777777" w:rsidR="007A2869" w:rsidRDefault="00000000">
            <w:pPr>
              <w:jc w:val="right"/>
            </w:pPr>
            <w:r>
              <w:rPr>
                <w:sz w:val="20"/>
                <w:szCs w:val="20"/>
              </w:rPr>
              <w:t>17.50</w:t>
            </w:r>
          </w:p>
        </w:tc>
        <w:tc>
          <w:tcPr>
            <w:tcW w:w="900" w:type="dxa"/>
            <w:tcBorders>
              <w:top w:val="nil"/>
              <w:left w:val="nil"/>
              <w:bottom w:val="nil"/>
              <w:right w:val="nil"/>
            </w:tcBorders>
            <w:tcMar>
              <w:top w:w="60" w:type="dxa"/>
              <w:left w:w="80" w:type="dxa"/>
              <w:bottom w:w="60" w:type="dxa"/>
              <w:right w:w="80" w:type="dxa"/>
            </w:tcMar>
            <w:vAlign w:val="center"/>
          </w:tcPr>
          <w:p w14:paraId="2536B55D" w14:textId="77777777" w:rsidR="007A2869" w:rsidRDefault="00000000">
            <w:pPr>
              <w:jc w:val="right"/>
            </w:pPr>
            <w:r>
              <w:rPr>
                <w:sz w:val="20"/>
                <w:szCs w:val="20"/>
              </w:rPr>
              <w:t>0.265</w:t>
            </w:r>
          </w:p>
        </w:tc>
        <w:tc>
          <w:tcPr>
            <w:tcW w:w="900" w:type="dxa"/>
            <w:tcBorders>
              <w:top w:val="nil"/>
              <w:left w:val="nil"/>
              <w:bottom w:val="nil"/>
              <w:right w:val="nil"/>
            </w:tcBorders>
            <w:tcMar>
              <w:top w:w="60" w:type="dxa"/>
              <w:left w:w="80" w:type="dxa"/>
              <w:bottom w:w="60" w:type="dxa"/>
              <w:right w:w="80" w:type="dxa"/>
            </w:tcMar>
            <w:vAlign w:val="center"/>
          </w:tcPr>
          <w:p w14:paraId="2536B55E" w14:textId="77777777" w:rsidR="007A2869" w:rsidRDefault="00000000">
            <w:pPr>
              <w:jc w:val="right"/>
            </w:pPr>
            <w:r>
              <w:rPr>
                <w:sz w:val="20"/>
                <w:szCs w:val="20"/>
              </w:rPr>
              <w:t>-60.2</w:t>
            </w:r>
          </w:p>
        </w:tc>
        <w:tc>
          <w:tcPr>
            <w:tcW w:w="950" w:type="dxa"/>
            <w:tcBorders>
              <w:top w:val="nil"/>
              <w:left w:val="nil"/>
              <w:bottom w:val="nil"/>
              <w:right w:val="nil"/>
            </w:tcBorders>
            <w:tcMar>
              <w:top w:w="60" w:type="dxa"/>
              <w:left w:w="80" w:type="dxa"/>
              <w:bottom w:w="60" w:type="dxa"/>
              <w:right w:w="80" w:type="dxa"/>
            </w:tcMar>
            <w:vAlign w:val="center"/>
          </w:tcPr>
          <w:p w14:paraId="2536B55F" w14:textId="77777777" w:rsidR="007A2869" w:rsidRDefault="00000000">
            <w:pPr>
              <w:jc w:val="right"/>
            </w:pPr>
            <w:r>
              <w:rPr>
                <w:sz w:val="20"/>
                <w:szCs w:val="20"/>
              </w:rPr>
              <w:t>-5.94</w:t>
            </w:r>
          </w:p>
        </w:tc>
        <w:tc>
          <w:tcPr>
            <w:tcW w:w="950" w:type="dxa"/>
            <w:tcBorders>
              <w:top w:val="nil"/>
              <w:left w:val="nil"/>
              <w:bottom w:val="nil"/>
              <w:right w:val="nil"/>
            </w:tcBorders>
            <w:tcMar>
              <w:top w:w="60" w:type="dxa"/>
              <w:left w:w="80" w:type="dxa"/>
              <w:bottom w:w="60" w:type="dxa"/>
              <w:right w:w="80" w:type="dxa"/>
            </w:tcMar>
            <w:vAlign w:val="center"/>
          </w:tcPr>
          <w:p w14:paraId="2536B560" w14:textId="77777777" w:rsidR="007A2869" w:rsidRDefault="00000000">
            <w:pPr>
              <w:jc w:val="right"/>
            </w:pPr>
            <w:r>
              <w:rPr>
                <w:sz w:val="20"/>
                <w:szCs w:val="20"/>
              </w:rPr>
              <w:t>0.074</w:t>
            </w:r>
          </w:p>
        </w:tc>
        <w:tc>
          <w:tcPr>
            <w:tcW w:w="1360" w:type="dxa"/>
            <w:tcBorders>
              <w:top w:val="nil"/>
              <w:left w:val="nil"/>
              <w:bottom w:val="nil"/>
              <w:right w:val="nil"/>
            </w:tcBorders>
            <w:tcMar>
              <w:top w:w="60" w:type="dxa"/>
              <w:left w:w="80" w:type="dxa"/>
              <w:bottom w:w="60" w:type="dxa"/>
              <w:right w:w="80" w:type="dxa"/>
            </w:tcMar>
            <w:vAlign w:val="center"/>
          </w:tcPr>
          <w:p w14:paraId="2536B561" w14:textId="77777777" w:rsidR="007A2869" w:rsidRDefault="00000000">
            <w:pPr>
              <w:jc w:val="right"/>
            </w:pPr>
            <w:r>
              <w:rPr>
                <w:sz w:val="20"/>
                <w:szCs w:val="20"/>
              </w:rPr>
              <w:t>0.0</w:t>
            </w:r>
          </w:p>
        </w:tc>
      </w:tr>
      <w:tr w:rsidR="007A2869" w14:paraId="2536B56B"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2536B563" w14:textId="77777777" w:rsidR="007A2869" w:rsidRDefault="00000000">
            <w:r>
              <w:rPr>
                <w:b/>
                <w:bCs/>
                <w:sz w:val="20"/>
                <w:szCs w:val="20"/>
              </w:rPr>
              <w:t>Static CVaR</w:t>
            </w:r>
          </w:p>
        </w:tc>
        <w:tc>
          <w:tcPr>
            <w:tcW w:w="1000" w:type="dxa"/>
            <w:tcBorders>
              <w:top w:val="nil"/>
              <w:left w:val="nil"/>
              <w:bottom w:val="nil"/>
              <w:right w:val="nil"/>
            </w:tcBorders>
            <w:tcMar>
              <w:top w:w="60" w:type="dxa"/>
              <w:left w:w="80" w:type="dxa"/>
              <w:bottom w:w="60" w:type="dxa"/>
              <w:right w:w="80" w:type="dxa"/>
            </w:tcMar>
            <w:vAlign w:val="center"/>
          </w:tcPr>
          <w:p w14:paraId="2536B564" w14:textId="77777777" w:rsidR="007A2869" w:rsidRDefault="00000000">
            <w:pPr>
              <w:jc w:val="right"/>
            </w:pPr>
            <w:r>
              <w:rPr>
                <w:b/>
                <w:bCs/>
                <w:sz w:val="20"/>
                <w:szCs w:val="20"/>
              </w:rPr>
              <w:t>7.05</w:t>
            </w:r>
          </w:p>
        </w:tc>
        <w:tc>
          <w:tcPr>
            <w:tcW w:w="900" w:type="dxa"/>
            <w:tcBorders>
              <w:top w:val="nil"/>
              <w:left w:val="nil"/>
              <w:bottom w:val="nil"/>
              <w:right w:val="nil"/>
            </w:tcBorders>
            <w:tcMar>
              <w:top w:w="60" w:type="dxa"/>
              <w:left w:w="80" w:type="dxa"/>
              <w:bottom w:w="60" w:type="dxa"/>
              <w:right w:w="80" w:type="dxa"/>
            </w:tcMar>
            <w:vAlign w:val="center"/>
          </w:tcPr>
          <w:p w14:paraId="2536B565" w14:textId="77777777" w:rsidR="007A2869" w:rsidRDefault="00000000">
            <w:pPr>
              <w:jc w:val="right"/>
            </w:pPr>
            <w:r>
              <w:rPr>
                <w:b/>
                <w:bCs/>
                <w:sz w:val="20"/>
                <w:szCs w:val="20"/>
              </w:rPr>
              <w:t>12.22</w:t>
            </w:r>
          </w:p>
        </w:tc>
        <w:tc>
          <w:tcPr>
            <w:tcW w:w="900" w:type="dxa"/>
            <w:tcBorders>
              <w:top w:val="nil"/>
              <w:left w:val="nil"/>
              <w:bottom w:val="nil"/>
              <w:right w:val="nil"/>
            </w:tcBorders>
            <w:tcMar>
              <w:top w:w="60" w:type="dxa"/>
              <w:left w:w="80" w:type="dxa"/>
              <w:bottom w:w="60" w:type="dxa"/>
              <w:right w:w="80" w:type="dxa"/>
            </w:tcMar>
            <w:vAlign w:val="center"/>
          </w:tcPr>
          <w:p w14:paraId="2536B566" w14:textId="77777777" w:rsidR="007A2869" w:rsidRDefault="00000000">
            <w:pPr>
              <w:jc w:val="right"/>
            </w:pPr>
            <w:r>
              <w:rPr>
                <w:b/>
                <w:bCs/>
                <w:sz w:val="20"/>
                <w:szCs w:val="20"/>
              </w:rPr>
              <w:t>0.513</w:t>
            </w:r>
          </w:p>
        </w:tc>
        <w:tc>
          <w:tcPr>
            <w:tcW w:w="900" w:type="dxa"/>
            <w:tcBorders>
              <w:top w:val="nil"/>
              <w:left w:val="nil"/>
              <w:bottom w:val="nil"/>
              <w:right w:val="nil"/>
            </w:tcBorders>
            <w:tcMar>
              <w:top w:w="60" w:type="dxa"/>
              <w:left w:w="80" w:type="dxa"/>
              <w:bottom w:w="60" w:type="dxa"/>
              <w:right w:w="80" w:type="dxa"/>
            </w:tcMar>
            <w:vAlign w:val="center"/>
          </w:tcPr>
          <w:p w14:paraId="2536B567" w14:textId="77777777" w:rsidR="007A2869" w:rsidRDefault="00000000">
            <w:pPr>
              <w:jc w:val="right"/>
            </w:pPr>
            <w:r>
              <w:rPr>
                <w:b/>
                <w:bCs/>
                <w:sz w:val="20"/>
                <w:szCs w:val="20"/>
              </w:rPr>
              <w:t>-39.5</w:t>
            </w:r>
          </w:p>
        </w:tc>
        <w:tc>
          <w:tcPr>
            <w:tcW w:w="950" w:type="dxa"/>
            <w:tcBorders>
              <w:top w:val="nil"/>
              <w:left w:val="nil"/>
              <w:bottom w:val="nil"/>
              <w:right w:val="nil"/>
            </w:tcBorders>
            <w:tcMar>
              <w:top w:w="60" w:type="dxa"/>
              <w:left w:w="80" w:type="dxa"/>
              <w:bottom w:w="60" w:type="dxa"/>
              <w:right w:w="80" w:type="dxa"/>
            </w:tcMar>
            <w:vAlign w:val="center"/>
          </w:tcPr>
          <w:p w14:paraId="2536B568" w14:textId="77777777" w:rsidR="007A2869" w:rsidRDefault="00000000">
            <w:pPr>
              <w:jc w:val="right"/>
            </w:pPr>
            <w:r>
              <w:rPr>
                <w:b/>
                <w:bCs/>
                <w:sz w:val="20"/>
                <w:szCs w:val="20"/>
              </w:rPr>
              <w:t>-4.19</w:t>
            </w:r>
          </w:p>
        </w:tc>
        <w:tc>
          <w:tcPr>
            <w:tcW w:w="950" w:type="dxa"/>
            <w:tcBorders>
              <w:top w:val="nil"/>
              <w:left w:val="nil"/>
              <w:bottom w:val="nil"/>
              <w:right w:val="nil"/>
            </w:tcBorders>
            <w:tcMar>
              <w:top w:w="60" w:type="dxa"/>
              <w:left w:w="80" w:type="dxa"/>
              <w:bottom w:w="60" w:type="dxa"/>
              <w:right w:w="80" w:type="dxa"/>
            </w:tcMar>
            <w:vAlign w:val="center"/>
          </w:tcPr>
          <w:p w14:paraId="2536B569" w14:textId="77777777" w:rsidR="007A2869" w:rsidRDefault="00000000">
            <w:pPr>
              <w:jc w:val="right"/>
            </w:pPr>
            <w:r>
              <w:rPr>
                <w:b/>
                <w:bCs/>
                <w:sz w:val="20"/>
                <w:szCs w:val="20"/>
              </w:rPr>
              <w:t>0.179</w:t>
            </w:r>
          </w:p>
        </w:tc>
        <w:tc>
          <w:tcPr>
            <w:tcW w:w="1360" w:type="dxa"/>
            <w:tcBorders>
              <w:top w:val="nil"/>
              <w:left w:val="nil"/>
              <w:bottom w:val="nil"/>
              <w:right w:val="nil"/>
            </w:tcBorders>
            <w:tcMar>
              <w:top w:w="60" w:type="dxa"/>
              <w:left w:w="80" w:type="dxa"/>
              <w:bottom w:w="60" w:type="dxa"/>
              <w:right w:w="80" w:type="dxa"/>
            </w:tcMar>
            <w:vAlign w:val="center"/>
          </w:tcPr>
          <w:p w14:paraId="2536B56A" w14:textId="77777777" w:rsidR="007A2869" w:rsidRDefault="00000000">
            <w:pPr>
              <w:jc w:val="right"/>
            </w:pPr>
            <w:r>
              <w:rPr>
                <w:b/>
                <w:bCs/>
                <w:sz w:val="20"/>
                <w:szCs w:val="20"/>
              </w:rPr>
              <w:t>24.9</w:t>
            </w:r>
          </w:p>
        </w:tc>
      </w:tr>
      <w:tr w:rsidR="007A2869" w14:paraId="2536B574" w14:textId="77777777">
        <w:tblPrEx>
          <w:tblCellMar>
            <w:top w:w="0" w:type="dxa"/>
            <w:bottom w:w="0" w:type="dxa"/>
          </w:tblCellMar>
        </w:tblPrEx>
        <w:tc>
          <w:tcPr>
            <w:tcW w:w="22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6C" w14:textId="77777777" w:rsidR="007A2869" w:rsidRDefault="00000000">
            <w:r>
              <w:rPr>
                <w:sz w:val="20"/>
                <w:szCs w:val="20"/>
              </w:rPr>
              <w:t>Markowitz (Min-Var)</w:t>
            </w:r>
          </w:p>
        </w:tc>
        <w:tc>
          <w:tcPr>
            <w:tcW w:w="1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6D" w14:textId="77777777" w:rsidR="007A2869" w:rsidRDefault="00000000">
            <w:pPr>
              <w:jc w:val="right"/>
            </w:pPr>
            <w:r>
              <w:rPr>
                <w:sz w:val="20"/>
                <w:szCs w:val="20"/>
              </w:rPr>
              <w:t>5.65</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6E" w14:textId="77777777" w:rsidR="007A2869" w:rsidRDefault="00000000">
            <w:pPr>
              <w:jc w:val="right"/>
            </w:pPr>
            <w:r>
              <w:rPr>
                <w:sz w:val="20"/>
                <w:szCs w:val="20"/>
              </w:rPr>
              <w:t>12.02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6F" w14:textId="77777777" w:rsidR="007A2869" w:rsidRDefault="00000000">
            <w:pPr>
              <w:jc w:val="right"/>
            </w:pPr>
            <w:r>
              <w:rPr>
                <w:sz w:val="20"/>
                <w:szCs w:val="20"/>
              </w:rPr>
              <w:t>0.409</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70" w14:textId="77777777" w:rsidR="007A2869" w:rsidRDefault="00000000">
            <w:pPr>
              <w:jc w:val="right"/>
            </w:pPr>
            <w:r>
              <w:rPr>
                <w:sz w:val="20"/>
                <w:szCs w:val="20"/>
              </w:rPr>
              <w:t>-45.6</w:t>
            </w:r>
          </w:p>
        </w:tc>
        <w:tc>
          <w:tcPr>
            <w:tcW w:w="95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71" w14:textId="77777777" w:rsidR="007A2869" w:rsidRDefault="00000000">
            <w:pPr>
              <w:jc w:val="right"/>
            </w:pPr>
            <w:r>
              <w:rPr>
                <w:sz w:val="20"/>
                <w:szCs w:val="20"/>
              </w:rPr>
              <w:t>-4.27</w:t>
            </w:r>
          </w:p>
        </w:tc>
        <w:tc>
          <w:tcPr>
            <w:tcW w:w="95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72" w14:textId="77777777" w:rsidR="007A2869" w:rsidRDefault="00000000">
            <w:pPr>
              <w:jc w:val="right"/>
            </w:pPr>
            <w:r>
              <w:rPr>
                <w:sz w:val="20"/>
                <w:szCs w:val="20"/>
              </w:rPr>
              <w:t>0.124</w:t>
            </w:r>
          </w:p>
        </w:tc>
        <w:tc>
          <w:tcPr>
            <w:tcW w:w="13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73" w14:textId="77777777" w:rsidR="007A2869" w:rsidRDefault="00000000">
            <w:pPr>
              <w:jc w:val="right"/>
            </w:pPr>
            <w:r>
              <w:rPr>
                <w:sz w:val="20"/>
                <w:szCs w:val="20"/>
              </w:rPr>
              <w:t>16.8</w:t>
            </w:r>
          </w:p>
        </w:tc>
      </w:tr>
    </w:tbl>
    <w:p w14:paraId="2536B575" w14:textId="77777777" w:rsidR="007A2869" w:rsidRDefault="007A2869">
      <w:pPr>
        <w:spacing w:line="480" w:lineRule="auto"/>
      </w:pPr>
    </w:p>
    <w:p w14:paraId="2536B576" w14:textId="77777777" w:rsidR="007A2869" w:rsidRDefault="00000000">
      <w:pPr>
        <w:spacing w:before="240" w:after="120" w:line="480" w:lineRule="auto"/>
      </w:pPr>
      <w:r>
        <w:rPr>
          <w:i/>
          <w:iCs/>
        </w:rPr>
        <w:t>B. Panel B: Regime-Aware Out-of-Sample Evidence, 2010 to 2026</w:t>
      </w:r>
    </w:p>
    <w:p w14:paraId="2536B577" w14:textId="77777777" w:rsidR="007A2869" w:rsidRDefault="00000000">
      <w:pPr>
        <w:spacing w:line="480" w:lineRule="auto"/>
        <w:ind w:firstLine="720"/>
        <w:jc w:val="both"/>
      </w:pPr>
      <w:r>
        <w:t>Table IV reports Panel B results. Static CVaR remains the most robust benchmark, achieving a Sharpe of 0.530 over 808 weeks. Its bootstrap confidence interval of [0.068, 1.058] is the only individual strategy CI with a positive lower bound; however, pairwise strategy differences remain statistically indistinguishable across all specifications. Regime CVaR-A generates a gross Sharpe of only 0.365, substantially below Static CVaR and even below the equal-weight benchmark (0.409). Weighted CVaR is marginally higher at 0.368.</w:t>
      </w:r>
    </w:p>
    <w:p w14:paraId="2536B578" w14:textId="77777777" w:rsidR="007A2869" w:rsidRDefault="007A2869">
      <w:pPr>
        <w:spacing w:line="480" w:lineRule="auto"/>
      </w:pPr>
    </w:p>
    <w:p w14:paraId="2536B579" w14:textId="77777777" w:rsidR="007A2869" w:rsidRDefault="00000000">
      <w:pPr>
        <w:spacing w:line="480" w:lineRule="auto"/>
        <w:ind w:firstLine="720"/>
        <w:jc w:val="both"/>
      </w:pPr>
      <w:r>
        <w:t xml:space="preserve">The explanation lies in a combination of factors. First, the regime-filtered scenario sets are smaller and noisier than the full 260-week window, introducing estimation error into the CVaR LP. Second, and more importantly, regime transitions trigger abrupt portfolio reallocation: when </w:t>
      </w:r>
      <w:r>
        <w:lastRenderedPageBreak/>
        <w:t>the HMM transitions between states, the optimal CVaR portfolio for the new state's scenario set may differ substantially from the outgoing portfolio. This produces annualized turnover of 225.75% for Regime CVaR-A versus 21.4% for Static CVaR, a tenfold difference. Weighted CVaR is similar at 232.5%.</w:t>
      </w:r>
    </w:p>
    <w:p w14:paraId="2536B57A" w14:textId="77777777" w:rsidR="007A2869" w:rsidRDefault="007A2869">
      <w:pPr>
        <w:spacing w:line="480" w:lineRule="auto"/>
      </w:pPr>
    </w:p>
    <w:p w14:paraId="2536B57B" w14:textId="77777777" w:rsidR="007A2869" w:rsidRDefault="00000000">
      <w:pPr>
        <w:spacing w:line="480" w:lineRule="auto"/>
        <w:ind w:firstLine="720"/>
        <w:jc w:val="both"/>
      </w:pPr>
      <w:r>
        <w:t>Table V reports the transaction-cost sensitivity of all strategies. At 10 bps of TC, the net Sharpe of Regime CVaR-A falls to 0.346 and Weighted CVaR to 0.348, compared to 0.528 for Static CVaR and 0.406 for Equal-Weight. At 25 bps, the regime strategies register net Sharpe ratios of 0.317 and 0.318, respectively. The performance degradation is approximately linear in TC_rate * (TO_strategy - TO_static), confirming that the turnover differential is the dominant driver of net performance differences.</w:t>
      </w:r>
    </w:p>
    <w:p w14:paraId="2536B57C" w14:textId="77777777" w:rsidR="007A2869" w:rsidRDefault="007A2869">
      <w:pPr>
        <w:spacing w:line="480" w:lineRule="auto"/>
      </w:pPr>
    </w:p>
    <w:p w14:paraId="2536B57D" w14:textId="77777777" w:rsidR="007A2869" w:rsidRDefault="00000000">
      <w:pPr>
        <w:spacing w:line="480" w:lineRule="auto"/>
        <w:ind w:firstLine="720"/>
        <w:jc w:val="both"/>
      </w:pPr>
      <w:r>
        <w:t>No pairwise HAC/Newey-West test is statistically significant at conventional levels. With 808 weekly observations and an effective HAC lag of 13 weeks, power is limited; the results are consistent with the broad message that performance differences between these strategies cannot be conclusively separated from sampling noise over a 15-year window.</w:t>
      </w:r>
    </w:p>
    <w:p w14:paraId="2536B57E" w14:textId="77777777" w:rsidR="007A2869" w:rsidRDefault="007A2869">
      <w:pPr>
        <w:spacing w:line="480" w:lineRule="auto"/>
      </w:pPr>
    </w:p>
    <w:p w14:paraId="2536B57F" w14:textId="77777777" w:rsidR="007A2869" w:rsidRDefault="00000000">
      <w:pPr>
        <w:keepNext/>
        <w:spacing w:before="480" w:line="300" w:lineRule="auto"/>
      </w:pPr>
      <w:r>
        <w:rPr>
          <w:b/>
          <w:bCs/>
          <w:sz w:val="22"/>
          <w:szCs w:val="22"/>
        </w:rPr>
        <w:lastRenderedPageBreak/>
        <w:t>TABLE IV</w:t>
      </w:r>
    </w:p>
    <w:p w14:paraId="2536B580" w14:textId="77777777" w:rsidR="007A2869" w:rsidRDefault="00000000">
      <w:pPr>
        <w:keepNext/>
        <w:spacing w:after="60" w:line="300" w:lineRule="auto"/>
      </w:pPr>
      <w:r>
        <w:rPr>
          <w:sz w:val="22"/>
          <w:szCs w:val="22"/>
        </w:rPr>
        <w:t>Panel B Performance: Regime-Aware Out-of-Sample Evaluation, 2010 to 2026</w:t>
      </w:r>
    </w:p>
    <w:p w14:paraId="2536B581" w14:textId="77777777" w:rsidR="007A2869" w:rsidRDefault="00000000">
      <w:pPr>
        <w:keepNext/>
        <w:spacing w:before="60" w:after="120" w:line="276" w:lineRule="auto"/>
      </w:pPr>
      <w:r>
        <w:rPr>
          <w:sz w:val="18"/>
          <w:szCs w:val="18"/>
        </w:rPr>
        <w:t>Weekly simple returns, 808 observations (October 15, 2010 to April 3, 2026). Gross performance at 0 bps transaction costs. HMM MIN_TRAIN_OBS = 156 weeks; all regime labels are strictly out-of-sample (walk-forward expanding window). Panel B evaluation window chosen to ensure stable four-state HMM estimates throughout. Definitions as in Table III.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1117"/>
        <w:gridCol w:w="1060"/>
        <w:gridCol w:w="1060"/>
        <w:gridCol w:w="1223"/>
        <w:gridCol w:w="1289"/>
        <w:gridCol w:w="1256"/>
      </w:tblGrid>
      <w:tr w:rsidR="007A2869" w14:paraId="2536B589" w14:textId="77777777">
        <w:tblPrEx>
          <w:tblCellMar>
            <w:top w:w="0" w:type="dxa"/>
            <w:bottom w:w="0" w:type="dxa"/>
          </w:tblCellMar>
        </w:tblPrEx>
        <w:trPr>
          <w:tblHeader/>
        </w:trPr>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82" w14:textId="77777777" w:rsidR="007A2869" w:rsidRDefault="00000000">
            <w:r>
              <w:rPr>
                <w:b/>
                <w:bCs/>
                <w:sz w:val="20"/>
                <w:szCs w:val="20"/>
              </w:rPr>
              <w:t>Strategy</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83" w14:textId="77777777" w:rsidR="007A2869" w:rsidRDefault="00000000">
            <w:pPr>
              <w:jc w:val="right"/>
            </w:pPr>
            <w:r>
              <w:rPr>
                <w:b/>
                <w:bCs/>
                <w:sz w:val="20"/>
                <w:szCs w:val="20"/>
              </w:rPr>
              <w:t>CAGR%</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84" w14:textId="77777777" w:rsidR="007A2869" w:rsidRDefault="00000000">
            <w:pPr>
              <w:jc w:val="right"/>
            </w:pPr>
            <w:r>
              <w:rPr>
                <w:b/>
                <w:bCs/>
                <w:sz w:val="20"/>
                <w:szCs w:val="20"/>
              </w:rPr>
              <w:t>Vol%</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85" w14:textId="77777777" w:rsidR="007A2869" w:rsidRDefault="00000000">
            <w:pPr>
              <w:jc w:val="right"/>
            </w:pPr>
            <w:r>
              <w:rPr>
                <w:b/>
                <w:bCs/>
                <w:sz w:val="20"/>
                <w:szCs w:val="20"/>
              </w:rPr>
              <w:t>Sharpe</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86" w14:textId="77777777" w:rsidR="007A2869" w:rsidRDefault="00000000">
            <w:pPr>
              <w:jc w:val="right"/>
            </w:pPr>
            <w:r>
              <w:rPr>
                <w:b/>
                <w:bCs/>
                <w:sz w:val="20"/>
                <w:szCs w:val="20"/>
              </w:rPr>
              <w:t>MaxDD%</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87" w14:textId="77777777" w:rsidR="007A2869" w:rsidRDefault="00000000">
            <w:pPr>
              <w:jc w:val="right"/>
            </w:pPr>
            <w:r>
              <w:rPr>
                <w:b/>
                <w:bCs/>
                <w:sz w:val="20"/>
                <w:szCs w:val="20"/>
              </w:rPr>
              <w:t>CVaR95%</w:t>
            </w:r>
          </w:p>
        </w:tc>
        <w:tc>
          <w:tcPr>
            <w:tcW w:w="9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88" w14:textId="77777777" w:rsidR="007A2869" w:rsidRDefault="00000000">
            <w:pPr>
              <w:jc w:val="right"/>
            </w:pPr>
            <w:r>
              <w:rPr>
                <w:b/>
                <w:bCs/>
                <w:sz w:val="20"/>
                <w:szCs w:val="20"/>
              </w:rPr>
              <w:t>Ann.TO%</w:t>
            </w:r>
          </w:p>
        </w:tc>
      </w:tr>
      <w:tr w:rsidR="007A2869" w14:paraId="2536B591"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58A" w14:textId="77777777" w:rsidR="007A2869" w:rsidRDefault="00000000">
            <w:r>
              <w:rPr>
                <w:sz w:val="20"/>
                <w:szCs w:val="20"/>
              </w:rPr>
              <w:t>Equal-Weight Risky (1/N)</w:t>
            </w:r>
          </w:p>
        </w:tc>
        <w:tc>
          <w:tcPr>
            <w:tcW w:w="900" w:type="dxa"/>
            <w:tcBorders>
              <w:top w:val="nil"/>
              <w:left w:val="nil"/>
              <w:bottom w:val="nil"/>
              <w:right w:val="nil"/>
            </w:tcBorders>
            <w:tcMar>
              <w:top w:w="60" w:type="dxa"/>
              <w:left w:w="80" w:type="dxa"/>
              <w:bottom w:w="60" w:type="dxa"/>
              <w:right w:w="80" w:type="dxa"/>
            </w:tcMar>
            <w:vAlign w:val="center"/>
          </w:tcPr>
          <w:p w14:paraId="2536B58B" w14:textId="77777777" w:rsidR="007A2869" w:rsidRDefault="00000000">
            <w:pPr>
              <w:jc w:val="right"/>
            </w:pPr>
            <w:r>
              <w:rPr>
                <w:sz w:val="20"/>
                <w:szCs w:val="20"/>
              </w:rPr>
              <w:t>5.65</w:t>
            </w:r>
          </w:p>
        </w:tc>
        <w:tc>
          <w:tcPr>
            <w:tcW w:w="900" w:type="dxa"/>
            <w:tcBorders>
              <w:top w:val="nil"/>
              <w:left w:val="nil"/>
              <w:bottom w:val="nil"/>
              <w:right w:val="nil"/>
            </w:tcBorders>
            <w:tcMar>
              <w:top w:w="60" w:type="dxa"/>
              <w:left w:w="80" w:type="dxa"/>
              <w:bottom w:w="60" w:type="dxa"/>
              <w:right w:w="80" w:type="dxa"/>
            </w:tcMar>
            <w:vAlign w:val="center"/>
          </w:tcPr>
          <w:p w14:paraId="2536B58C" w14:textId="77777777" w:rsidR="007A2869" w:rsidRDefault="00000000">
            <w:pPr>
              <w:jc w:val="right"/>
            </w:pPr>
            <w:r>
              <w:rPr>
                <w:sz w:val="20"/>
                <w:szCs w:val="20"/>
              </w:rPr>
              <w:t>14.43</w:t>
            </w:r>
          </w:p>
        </w:tc>
        <w:tc>
          <w:tcPr>
            <w:tcW w:w="900" w:type="dxa"/>
            <w:tcBorders>
              <w:top w:val="nil"/>
              <w:left w:val="nil"/>
              <w:bottom w:val="nil"/>
              <w:right w:val="nil"/>
            </w:tcBorders>
            <w:tcMar>
              <w:top w:w="60" w:type="dxa"/>
              <w:left w:w="80" w:type="dxa"/>
              <w:bottom w:w="60" w:type="dxa"/>
              <w:right w:w="80" w:type="dxa"/>
            </w:tcMar>
            <w:vAlign w:val="center"/>
          </w:tcPr>
          <w:p w14:paraId="2536B58D" w14:textId="77777777" w:rsidR="007A2869" w:rsidRDefault="00000000">
            <w:pPr>
              <w:jc w:val="right"/>
            </w:pPr>
            <w:r>
              <w:rPr>
                <w:sz w:val="20"/>
                <w:szCs w:val="20"/>
              </w:rPr>
              <w:t>0.409</w:t>
            </w:r>
          </w:p>
        </w:tc>
        <w:tc>
          <w:tcPr>
            <w:tcW w:w="900" w:type="dxa"/>
            <w:tcBorders>
              <w:top w:val="nil"/>
              <w:left w:val="nil"/>
              <w:bottom w:val="nil"/>
              <w:right w:val="nil"/>
            </w:tcBorders>
            <w:tcMar>
              <w:top w:w="60" w:type="dxa"/>
              <w:left w:w="80" w:type="dxa"/>
              <w:bottom w:w="60" w:type="dxa"/>
              <w:right w:w="80" w:type="dxa"/>
            </w:tcMar>
            <w:vAlign w:val="center"/>
          </w:tcPr>
          <w:p w14:paraId="2536B58E" w14:textId="77777777" w:rsidR="007A2869" w:rsidRDefault="00000000">
            <w:pPr>
              <w:jc w:val="right"/>
            </w:pPr>
            <w:r>
              <w:rPr>
                <w:sz w:val="20"/>
                <w:szCs w:val="20"/>
              </w:rPr>
              <w:t>-32.8</w:t>
            </w:r>
          </w:p>
        </w:tc>
        <w:tc>
          <w:tcPr>
            <w:tcW w:w="900" w:type="dxa"/>
            <w:tcBorders>
              <w:top w:val="nil"/>
              <w:left w:val="nil"/>
              <w:bottom w:val="nil"/>
              <w:right w:val="nil"/>
            </w:tcBorders>
            <w:tcMar>
              <w:top w:w="60" w:type="dxa"/>
              <w:left w:w="80" w:type="dxa"/>
              <w:bottom w:w="60" w:type="dxa"/>
              <w:right w:w="80" w:type="dxa"/>
            </w:tcMar>
            <w:vAlign w:val="center"/>
          </w:tcPr>
          <w:p w14:paraId="2536B58F" w14:textId="77777777" w:rsidR="007A2869" w:rsidRDefault="00000000">
            <w:pPr>
              <w:jc w:val="right"/>
            </w:pPr>
            <w:r>
              <w:rPr>
                <w:sz w:val="20"/>
                <w:szCs w:val="20"/>
              </w:rPr>
              <w:t>-4.81</w:t>
            </w:r>
          </w:p>
        </w:tc>
        <w:tc>
          <w:tcPr>
            <w:tcW w:w="960" w:type="dxa"/>
            <w:tcBorders>
              <w:top w:val="nil"/>
              <w:left w:val="nil"/>
              <w:bottom w:val="nil"/>
              <w:right w:val="nil"/>
            </w:tcBorders>
            <w:tcMar>
              <w:top w:w="60" w:type="dxa"/>
              <w:left w:w="80" w:type="dxa"/>
              <w:bottom w:w="60" w:type="dxa"/>
              <w:right w:w="80" w:type="dxa"/>
            </w:tcMar>
            <w:vAlign w:val="center"/>
          </w:tcPr>
          <w:p w14:paraId="2536B590" w14:textId="77777777" w:rsidR="007A2869" w:rsidRDefault="00000000">
            <w:pPr>
              <w:jc w:val="right"/>
            </w:pPr>
            <w:r>
              <w:rPr>
                <w:sz w:val="20"/>
                <w:szCs w:val="20"/>
              </w:rPr>
              <w:t>35.2</w:t>
            </w:r>
          </w:p>
        </w:tc>
      </w:tr>
      <w:tr w:rsidR="007A2869" w14:paraId="2536B599"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592" w14:textId="77777777" w:rsidR="007A2869" w:rsidRDefault="00000000">
            <w:r>
              <w:rPr>
                <w:sz w:val="20"/>
                <w:szCs w:val="20"/>
              </w:rPr>
              <w:t>STOXX Europe 600</w:t>
            </w:r>
          </w:p>
        </w:tc>
        <w:tc>
          <w:tcPr>
            <w:tcW w:w="900" w:type="dxa"/>
            <w:tcBorders>
              <w:top w:val="nil"/>
              <w:left w:val="nil"/>
              <w:bottom w:val="nil"/>
              <w:right w:val="nil"/>
            </w:tcBorders>
            <w:tcMar>
              <w:top w:w="60" w:type="dxa"/>
              <w:left w:w="80" w:type="dxa"/>
              <w:bottom w:w="60" w:type="dxa"/>
              <w:right w:w="80" w:type="dxa"/>
            </w:tcMar>
            <w:vAlign w:val="center"/>
          </w:tcPr>
          <w:p w14:paraId="2536B593" w14:textId="77777777" w:rsidR="007A2869" w:rsidRDefault="00000000">
            <w:pPr>
              <w:jc w:val="right"/>
            </w:pPr>
            <w:r>
              <w:rPr>
                <w:sz w:val="20"/>
                <w:szCs w:val="20"/>
              </w:rPr>
              <w:t>5.28</w:t>
            </w:r>
          </w:p>
        </w:tc>
        <w:tc>
          <w:tcPr>
            <w:tcW w:w="900" w:type="dxa"/>
            <w:tcBorders>
              <w:top w:val="nil"/>
              <w:left w:val="nil"/>
              <w:bottom w:val="nil"/>
              <w:right w:val="nil"/>
            </w:tcBorders>
            <w:tcMar>
              <w:top w:w="60" w:type="dxa"/>
              <w:left w:w="80" w:type="dxa"/>
              <w:bottom w:w="60" w:type="dxa"/>
              <w:right w:w="80" w:type="dxa"/>
            </w:tcMar>
            <w:vAlign w:val="center"/>
          </w:tcPr>
          <w:p w14:paraId="2536B594" w14:textId="77777777" w:rsidR="007A2869" w:rsidRDefault="00000000">
            <w:pPr>
              <w:jc w:val="right"/>
            </w:pPr>
            <w:r>
              <w:rPr>
                <w:sz w:val="20"/>
                <w:szCs w:val="20"/>
              </w:rPr>
              <w:t>15.86</w:t>
            </w:r>
          </w:p>
        </w:tc>
        <w:tc>
          <w:tcPr>
            <w:tcW w:w="900" w:type="dxa"/>
            <w:tcBorders>
              <w:top w:val="nil"/>
              <w:left w:val="nil"/>
              <w:bottom w:val="nil"/>
              <w:right w:val="nil"/>
            </w:tcBorders>
            <w:tcMar>
              <w:top w:w="60" w:type="dxa"/>
              <w:left w:w="80" w:type="dxa"/>
              <w:bottom w:w="60" w:type="dxa"/>
              <w:right w:w="80" w:type="dxa"/>
            </w:tcMar>
            <w:vAlign w:val="center"/>
          </w:tcPr>
          <w:p w14:paraId="2536B595" w14:textId="77777777" w:rsidR="007A2869" w:rsidRDefault="00000000">
            <w:pPr>
              <w:jc w:val="right"/>
            </w:pPr>
            <w:r>
              <w:rPr>
                <w:sz w:val="20"/>
                <w:szCs w:val="20"/>
              </w:rPr>
              <w:t>0.363</w:t>
            </w:r>
          </w:p>
        </w:tc>
        <w:tc>
          <w:tcPr>
            <w:tcW w:w="900" w:type="dxa"/>
            <w:tcBorders>
              <w:top w:val="nil"/>
              <w:left w:val="nil"/>
              <w:bottom w:val="nil"/>
              <w:right w:val="nil"/>
            </w:tcBorders>
            <w:tcMar>
              <w:top w:w="60" w:type="dxa"/>
              <w:left w:w="80" w:type="dxa"/>
              <w:bottom w:w="60" w:type="dxa"/>
              <w:right w:w="80" w:type="dxa"/>
            </w:tcMar>
            <w:vAlign w:val="center"/>
          </w:tcPr>
          <w:p w14:paraId="2536B596" w14:textId="77777777" w:rsidR="007A2869" w:rsidRDefault="00000000">
            <w:pPr>
              <w:jc w:val="right"/>
            </w:pPr>
            <w:r>
              <w:rPr>
                <w:sz w:val="20"/>
                <w:szCs w:val="20"/>
              </w:rPr>
              <w:t>-31.9</w:t>
            </w:r>
          </w:p>
        </w:tc>
        <w:tc>
          <w:tcPr>
            <w:tcW w:w="900" w:type="dxa"/>
            <w:tcBorders>
              <w:top w:val="nil"/>
              <w:left w:val="nil"/>
              <w:bottom w:val="nil"/>
              <w:right w:val="nil"/>
            </w:tcBorders>
            <w:tcMar>
              <w:top w:w="60" w:type="dxa"/>
              <w:left w:w="80" w:type="dxa"/>
              <w:bottom w:w="60" w:type="dxa"/>
              <w:right w:w="80" w:type="dxa"/>
            </w:tcMar>
            <w:vAlign w:val="center"/>
          </w:tcPr>
          <w:p w14:paraId="2536B597" w14:textId="77777777" w:rsidR="007A2869" w:rsidRDefault="00000000">
            <w:pPr>
              <w:jc w:val="right"/>
            </w:pPr>
            <w:r>
              <w:rPr>
                <w:sz w:val="20"/>
                <w:szCs w:val="20"/>
              </w:rPr>
              <w:t>-5.33</w:t>
            </w:r>
          </w:p>
        </w:tc>
        <w:tc>
          <w:tcPr>
            <w:tcW w:w="960" w:type="dxa"/>
            <w:tcBorders>
              <w:top w:val="nil"/>
              <w:left w:val="nil"/>
              <w:bottom w:val="nil"/>
              <w:right w:val="nil"/>
            </w:tcBorders>
            <w:tcMar>
              <w:top w:w="60" w:type="dxa"/>
              <w:left w:w="80" w:type="dxa"/>
              <w:bottom w:w="60" w:type="dxa"/>
              <w:right w:w="80" w:type="dxa"/>
            </w:tcMar>
            <w:vAlign w:val="center"/>
          </w:tcPr>
          <w:p w14:paraId="2536B598" w14:textId="77777777" w:rsidR="007A2869" w:rsidRDefault="00000000">
            <w:pPr>
              <w:jc w:val="right"/>
            </w:pPr>
            <w:r>
              <w:rPr>
                <w:sz w:val="20"/>
                <w:szCs w:val="20"/>
              </w:rPr>
              <w:t>0.0</w:t>
            </w:r>
          </w:p>
        </w:tc>
      </w:tr>
      <w:tr w:rsidR="007A2869" w14:paraId="2536B5A1"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59A" w14:textId="77777777" w:rsidR="007A2869" w:rsidRDefault="00000000">
            <w:r>
              <w:rPr>
                <w:b/>
                <w:bCs/>
                <w:sz w:val="20"/>
                <w:szCs w:val="20"/>
              </w:rPr>
              <w:t>Static CVaR</w:t>
            </w:r>
          </w:p>
        </w:tc>
        <w:tc>
          <w:tcPr>
            <w:tcW w:w="900" w:type="dxa"/>
            <w:tcBorders>
              <w:top w:val="nil"/>
              <w:left w:val="nil"/>
              <w:bottom w:val="nil"/>
              <w:right w:val="nil"/>
            </w:tcBorders>
            <w:tcMar>
              <w:top w:w="60" w:type="dxa"/>
              <w:left w:w="80" w:type="dxa"/>
              <w:bottom w:w="60" w:type="dxa"/>
              <w:right w:w="80" w:type="dxa"/>
            </w:tcMar>
            <w:vAlign w:val="center"/>
          </w:tcPr>
          <w:p w14:paraId="2536B59B" w14:textId="77777777" w:rsidR="007A2869" w:rsidRDefault="00000000">
            <w:pPr>
              <w:jc w:val="right"/>
            </w:pPr>
            <w:r>
              <w:rPr>
                <w:b/>
                <w:bCs/>
                <w:sz w:val="20"/>
                <w:szCs w:val="20"/>
              </w:rPr>
              <w:t>6.03</w:t>
            </w:r>
          </w:p>
        </w:tc>
        <w:tc>
          <w:tcPr>
            <w:tcW w:w="900" w:type="dxa"/>
            <w:tcBorders>
              <w:top w:val="nil"/>
              <w:left w:val="nil"/>
              <w:bottom w:val="nil"/>
              <w:right w:val="nil"/>
            </w:tcBorders>
            <w:tcMar>
              <w:top w:w="60" w:type="dxa"/>
              <w:left w:w="80" w:type="dxa"/>
              <w:bottom w:w="60" w:type="dxa"/>
              <w:right w:w="80" w:type="dxa"/>
            </w:tcMar>
            <w:vAlign w:val="center"/>
          </w:tcPr>
          <w:p w14:paraId="2536B59C" w14:textId="77777777" w:rsidR="007A2869" w:rsidRDefault="00000000">
            <w:pPr>
              <w:jc w:val="right"/>
            </w:pPr>
            <w:r>
              <w:rPr>
                <w:b/>
                <w:bCs/>
                <w:sz w:val="20"/>
                <w:szCs w:val="20"/>
              </w:rPr>
              <w:t>10.97</w:t>
            </w:r>
          </w:p>
        </w:tc>
        <w:tc>
          <w:tcPr>
            <w:tcW w:w="900" w:type="dxa"/>
            <w:tcBorders>
              <w:top w:val="nil"/>
              <w:left w:val="nil"/>
              <w:bottom w:val="nil"/>
              <w:right w:val="nil"/>
            </w:tcBorders>
            <w:tcMar>
              <w:top w:w="60" w:type="dxa"/>
              <w:left w:w="80" w:type="dxa"/>
              <w:bottom w:w="60" w:type="dxa"/>
              <w:right w:w="80" w:type="dxa"/>
            </w:tcMar>
            <w:vAlign w:val="center"/>
          </w:tcPr>
          <w:p w14:paraId="2536B59D" w14:textId="77777777" w:rsidR="007A2869" w:rsidRDefault="00000000">
            <w:pPr>
              <w:jc w:val="right"/>
            </w:pPr>
            <w:r>
              <w:rPr>
                <w:b/>
                <w:bCs/>
                <w:sz w:val="20"/>
                <w:szCs w:val="20"/>
              </w:rPr>
              <w:t>0.530</w:t>
            </w:r>
          </w:p>
        </w:tc>
        <w:tc>
          <w:tcPr>
            <w:tcW w:w="900" w:type="dxa"/>
            <w:tcBorders>
              <w:top w:val="nil"/>
              <w:left w:val="nil"/>
              <w:bottom w:val="nil"/>
              <w:right w:val="nil"/>
            </w:tcBorders>
            <w:tcMar>
              <w:top w:w="60" w:type="dxa"/>
              <w:left w:w="80" w:type="dxa"/>
              <w:bottom w:w="60" w:type="dxa"/>
              <w:right w:w="80" w:type="dxa"/>
            </w:tcMar>
            <w:vAlign w:val="center"/>
          </w:tcPr>
          <w:p w14:paraId="2536B59E" w14:textId="77777777" w:rsidR="007A2869" w:rsidRDefault="00000000">
            <w:pPr>
              <w:jc w:val="right"/>
            </w:pPr>
            <w:r>
              <w:rPr>
                <w:b/>
                <w:bCs/>
                <w:sz w:val="20"/>
                <w:szCs w:val="20"/>
              </w:rPr>
              <w:t>-25.3</w:t>
            </w:r>
          </w:p>
        </w:tc>
        <w:tc>
          <w:tcPr>
            <w:tcW w:w="900" w:type="dxa"/>
            <w:tcBorders>
              <w:top w:val="nil"/>
              <w:left w:val="nil"/>
              <w:bottom w:val="nil"/>
              <w:right w:val="nil"/>
            </w:tcBorders>
            <w:tcMar>
              <w:top w:w="60" w:type="dxa"/>
              <w:left w:w="80" w:type="dxa"/>
              <w:bottom w:w="60" w:type="dxa"/>
              <w:right w:w="80" w:type="dxa"/>
            </w:tcMar>
            <w:vAlign w:val="center"/>
          </w:tcPr>
          <w:p w14:paraId="2536B59F" w14:textId="77777777" w:rsidR="007A2869" w:rsidRDefault="00000000">
            <w:pPr>
              <w:jc w:val="right"/>
            </w:pPr>
            <w:r>
              <w:rPr>
                <w:b/>
                <w:bCs/>
                <w:sz w:val="20"/>
                <w:szCs w:val="20"/>
              </w:rPr>
              <w:t>-3.60</w:t>
            </w:r>
          </w:p>
        </w:tc>
        <w:tc>
          <w:tcPr>
            <w:tcW w:w="960" w:type="dxa"/>
            <w:tcBorders>
              <w:top w:val="nil"/>
              <w:left w:val="nil"/>
              <w:bottom w:val="nil"/>
              <w:right w:val="nil"/>
            </w:tcBorders>
            <w:tcMar>
              <w:top w:w="60" w:type="dxa"/>
              <w:left w:w="80" w:type="dxa"/>
              <w:bottom w:w="60" w:type="dxa"/>
              <w:right w:w="80" w:type="dxa"/>
            </w:tcMar>
            <w:vAlign w:val="center"/>
          </w:tcPr>
          <w:p w14:paraId="2536B5A0" w14:textId="77777777" w:rsidR="007A2869" w:rsidRDefault="00000000">
            <w:pPr>
              <w:jc w:val="right"/>
            </w:pPr>
            <w:r>
              <w:rPr>
                <w:b/>
                <w:bCs/>
                <w:sz w:val="20"/>
                <w:szCs w:val="20"/>
              </w:rPr>
              <w:t>21.4</w:t>
            </w:r>
          </w:p>
        </w:tc>
      </w:tr>
      <w:tr w:rsidR="007A2869" w14:paraId="2536B5A9"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5A2" w14:textId="77777777" w:rsidR="007A2869" w:rsidRDefault="00000000">
            <w:r>
              <w:rPr>
                <w:sz w:val="20"/>
                <w:szCs w:val="20"/>
              </w:rPr>
              <w:t>Markowitz (Min-Var)</w:t>
            </w:r>
          </w:p>
        </w:tc>
        <w:tc>
          <w:tcPr>
            <w:tcW w:w="900" w:type="dxa"/>
            <w:tcBorders>
              <w:top w:val="nil"/>
              <w:left w:val="nil"/>
              <w:bottom w:val="nil"/>
              <w:right w:val="nil"/>
            </w:tcBorders>
            <w:tcMar>
              <w:top w:w="60" w:type="dxa"/>
              <w:left w:w="80" w:type="dxa"/>
              <w:bottom w:w="60" w:type="dxa"/>
              <w:right w:w="80" w:type="dxa"/>
            </w:tcMar>
            <w:vAlign w:val="center"/>
          </w:tcPr>
          <w:p w14:paraId="2536B5A3" w14:textId="77777777" w:rsidR="007A2869" w:rsidRDefault="00000000">
            <w:pPr>
              <w:jc w:val="right"/>
            </w:pPr>
            <w:r>
              <w:rPr>
                <w:sz w:val="20"/>
                <w:szCs w:val="20"/>
              </w:rPr>
              <w:t>5.03</w:t>
            </w:r>
          </w:p>
        </w:tc>
        <w:tc>
          <w:tcPr>
            <w:tcW w:w="900" w:type="dxa"/>
            <w:tcBorders>
              <w:top w:val="nil"/>
              <w:left w:val="nil"/>
              <w:bottom w:val="nil"/>
              <w:right w:val="nil"/>
            </w:tcBorders>
            <w:tcMar>
              <w:top w:w="60" w:type="dxa"/>
              <w:left w:w="80" w:type="dxa"/>
              <w:bottom w:w="60" w:type="dxa"/>
              <w:right w:w="80" w:type="dxa"/>
            </w:tcMar>
            <w:vAlign w:val="center"/>
          </w:tcPr>
          <w:p w14:paraId="2536B5A4" w14:textId="77777777" w:rsidR="007A2869" w:rsidRDefault="00000000">
            <w:pPr>
              <w:jc w:val="right"/>
            </w:pPr>
            <w:r>
              <w:rPr>
                <w:sz w:val="20"/>
                <w:szCs w:val="20"/>
              </w:rPr>
              <w:t>10.85</w:t>
            </w:r>
          </w:p>
        </w:tc>
        <w:tc>
          <w:tcPr>
            <w:tcW w:w="900" w:type="dxa"/>
            <w:tcBorders>
              <w:top w:val="nil"/>
              <w:left w:val="nil"/>
              <w:bottom w:val="nil"/>
              <w:right w:val="nil"/>
            </w:tcBorders>
            <w:tcMar>
              <w:top w:w="60" w:type="dxa"/>
              <w:left w:w="80" w:type="dxa"/>
              <w:bottom w:w="60" w:type="dxa"/>
              <w:right w:w="80" w:type="dxa"/>
            </w:tcMar>
            <w:vAlign w:val="center"/>
          </w:tcPr>
          <w:p w14:paraId="2536B5A5" w14:textId="77777777" w:rsidR="007A2869" w:rsidRDefault="00000000">
            <w:pPr>
              <w:jc w:val="right"/>
            </w:pPr>
            <w:r>
              <w:rPr>
                <w:sz w:val="20"/>
                <w:szCs w:val="20"/>
              </w:rPr>
              <w:t>0.447</w:t>
            </w:r>
          </w:p>
        </w:tc>
        <w:tc>
          <w:tcPr>
            <w:tcW w:w="900" w:type="dxa"/>
            <w:tcBorders>
              <w:top w:val="nil"/>
              <w:left w:val="nil"/>
              <w:bottom w:val="nil"/>
              <w:right w:val="nil"/>
            </w:tcBorders>
            <w:tcMar>
              <w:top w:w="60" w:type="dxa"/>
              <w:left w:w="80" w:type="dxa"/>
              <w:bottom w:w="60" w:type="dxa"/>
              <w:right w:w="80" w:type="dxa"/>
            </w:tcMar>
            <w:vAlign w:val="center"/>
          </w:tcPr>
          <w:p w14:paraId="2536B5A6" w14:textId="77777777" w:rsidR="007A2869" w:rsidRDefault="00000000">
            <w:pPr>
              <w:jc w:val="right"/>
            </w:pPr>
            <w:r>
              <w:rPr>
                <w:sz w:val="20"/>
                <w:szCs w:val="20"/>
              </w:rPr>
              <w:t>-24.9</w:t>
            </w:r>
          </w:p>
        </w:tc>
        <w:tc>
          <w:tcPr>
            <w:tcW w:w="900" w:type="dxa"/>
            <w:tcBorders>
              <w:top w:val="nil"/>
              <w:left w:val="nil"/>
              <w:bottom w:val="nil"/>
              <w:right w:val="nil"/>
            </w:tcBorders>
            <w:tcMar>
              <w:top w:w="60" w:type="dxa"/>
              <w:left w:w="80" w:type="dxa"/>
              <w:bottom w:w="60" w:type="dxa"/>
              <w:right w:w="80" w:type="dxa"/>
            </w:tcMar>
            <w:vAlign w:val="center"/>
          </w:tcPr>
          <w:p w14:paraId="2536B5A7" w14:textId="77777777" w:rsidR="007A2869" w:rsidRDefault="00000000">
            <w:pPr>
              <w:jc w:val="right"/>
            </w:pPr>
            <w:r>
              <w:rPr>
                <w:sz w:val="20"/>
                <w:szCs w:val="20"/>
              </w:rPr>
              <w:t>-3.64</w:t>
            </w:r>
          </w:p>
        </w:tc>
        <w:tc>
          <w:tcPr>
            <w:tcW w:w="960" w:type="dxa"/>
            <w:tcBorders>
              <w:top w:val="nil"/>
              <w:left w:val="nil"/>
              <w:bottom w:val="nil"/>
              <w:right w:val="nil"/>
            </w:tcBorders>
            <w:tcMar>
              <w:top w:w="60" w:type="dxa"/>
              <w:left w:w="80" w:type="dxa"/>
              <w:bottom w:w="60" w:type="dxa"/>
              <w:right w:w="80" w:type="dxa"/>
            </w:tcMar>
            <w:vAlign w:val="center"/>
          </w:tcPr>
          <w:p w14:paraId="2536B5A8" w14:textId="77777777" w:rsidR="007A2869" w:rsidRDefault="00000000">
            <w:pPr>
              <w:jc w:val="right"/>
            </w:pPr>
            <w:r>
              <w:rPr>
                <w:sz w:val="20"/>
                <w:szCs w:val="20"/>
              </w:rPr>
              <w:t>12.3</w:t>
            </w:r>
          </w:p>
        </w:tc>
      </w:tr>
      <w:tr w:rsidR="007A2869" w14:paraId="2536B5B1"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5AA" w14:textId="77777777" w:rsidR="007A2869" w:rsidRDefault="00000000">
            <w:r>
              <w:rPr>
                <w:sz w:val="20"/>
                <w:szCs w:val="20"/>
              </w:rPr>
              <w:t>Regime CVaR-A</w:t>
            </w:r>
          </w:p>
        </w:tc>
        <w:tc>
          <w:tcPr>
            <w:tcW w:w="900" w:type="dxa"/>
            <w:tcBorders>
              <w:top w:val="nil"/>
              <w:left w:val="nil"/>
              <w:bottom w:val="nil"/>
              <w:right w:val="nil"/>
            </w:tcBorders>
            <w:tcMar>
              <w:top w:w="60" w:type="dxa"/>
              <w:left w:w="80" w:type="dxa"/>
              <w:bottom w:w="60" w:type="dxa"/>
              <w:right w:w="80" w:type="dxa"/>
            </w:tcMar>
            <w:vAlign w:val="center"/>
          </w:tcPr>
          <w:p w14:paraId="2536B5AB" w14:textId="77777777" w:rsidR="007A2869" w:rsidRDefault="00000000">
            <w:pPr>
              <w:jc w:val="right"/>
            </w:pPr>
            <w:r>
              <w:rPr>
                <w:sz w:val="20"/>
                <w:szCs w:val="20"/>
              </w:rPr>
              <w:t>4.35</w:t>
            </w:r>
          </w:p>
        </w:tc>
        <w:tc>
          <w:tcPr>
            <w:tcW w:w="900" w:type="dxa"/>
            <w:tcBorders>
              <w:top w:val="nil"/>
              <w:left w:val="nil"/>
              <w:bottom w:val="nil"/>
              <w:right w:val="nil"/>
            </w:tcBorders>
            <w:tcMar>
              <w:top w:w="60" w:type="dxa"/>
              <w:left w:w="80" w:type="dxa"/>
              <w:bottom w:w="60" w:type="dxa"/>
              <w:right w:w="80" w:type="dxa"/>
            </w:tcMar>
            <w:vAlign w:val="center"/>
          </w:tcPr>
          <w:p w14:paraId="2536B5AC" w14:textId="77777777" w:rsidR="007A2869" w:rsidRDefault="00000000">
            <w:pPr>
              <w:jc w:val="right"/>
            </w:pPr>
            <w:r>
              <w:rPr>
                <w:sz w:val="20"/>
                <w:szCs w:val="20"/>
              </w:rPr>
              <w:t>11.78</w:t>
            </w:r>
          </w:p>
        </w:tc>
        <w:tc>
          <w:tcPr>
            <w:tcW w:w="900" w:type="dxa"/>
            <w:tcBorders>
              <w:top w:val="nil"/>
              <w:left w:val="nil"/>
              <w:bottom w:val="nil"/>
              <w:right w:val="nil"/>
            </w:tcBorders>
            <w:tcMar>
              <w:top w:w="60" w:type="dxa"/>
              <w:left w:w="80" w:type="dxa"/>
              <w:bottom w:w="60" w:type="dxa"/>
              <w:right w:w="80" w:type="dxa"/>
            </w:tcMar>
            <w:vAlign w:val="center"/>
          </w:tcPr>
          <w:p w14:paraId="2536B5AD" w14:textId="77777777" w:rsidR="007A2869" w:rsidRDefault="00000000">
            <w:pPr>
              <w:jc w:val="right"/>
            </w:pPr>
            <w:r>
              <w:rPr>
                <w:sz w:val="20"/>
                <w:szCs w:val="20"/>
              </w:rPr>
              <w:t>0.365</w:t>
            </w:r>
          </w:p>
        </w:tc>
        <w:tc>
          <w:tcPr>
            <w:tcW w:w="900" w:type="dxa"/>
            <w:tcBorders>
              <w:top w:val="nil"/>
              <w:left w:val="nil"/>
              <w:bottom w:val="nil"/>
              <w:right w:val="nil"/>
            </w:tcBorders>
            <w:tcMar>
              <w:top w:w="60" w:type="dxa"/>
              <w:left w:w="80" w:type="dxa"/>
              <w:bottom w:w="60" w:type="dxa"/>
              <w:right w:w="80" w:type="dxa"/>
            </w:tcMar>
            <w:vAlign w:val="center"/>
          </w:tcPr>
          <w:p w14:paraId="2536B5AE" w14:textId="77777777" w:rsidR="007A2869" w:rsidRDefault="00000000">
            <w:pPr>
              <w:jc w:val="right"/>
            </w:pPr>
            <w:r>
              <w:rPr>
                <w:sz w:val="20"/>
                <w:szCs w:val="20"/>
              </w:rPr>
              <w:t>-25.8</w:t>
            </w:r>
          </w:p>
        </w:tc>
        <w:tc>
          <w:tcPr>
            <w:tcW w:w="900" w:type="dxa"/>
            <w:tcBorders>
              <w:top w:val="nil"/>
              <w:left w:val="nil"/>
              <w:bottom w:val="nil"/>
              <w:right w:val="nil"/>
            </w:tcBorders>
            <w:tcMar>
              <w:top w:w="60" w:type="dxa"/>
              <w:left w:w="80" w:type="dxa"/>
              <w:bottom w:w="60" w:type="dxa"/>
              <w:right w:w="80" w:type="dxa"/>
            </w:tcMar>
            <w:vAlign w:val="center"/>
          </w:tcPr>
          <w:p w14:paraId="2536B5AF" w14:textId="77777777" w:rsidR="007A2869" w:rsidRDefault="00000000">
            <w:pPr>
              <w:jc w:val="right"/>
            </w:pPr>
            <w:r>
              <w:rPr>
                <w:sz w:val="20"/>
                <w:szCs w:val="20"/>
              </w:rPr>
              <w:t>-3.96</w:t>
            </w:r>
          </w:p>
        </w:tc>
        <w:tc>
          <w:tcPr>
            <w:tcW w:w="960" w:type="dxa"/>
            <w:tcBorders>
              <w:top w:val="nil"/>
              <w:left w:val="nil"/>
              <w:bottom w:val="nil"/>
              <w:right w:val="nil"/>
            </w:tcBorders>
            <w:tcMar>
              <w:top w:w="60" w:type="dxa"/>
              <w:left w:w="80" w:type="dxa"/>
              <w:bottom w:w="60" w:type="dxa"/>
              <w:right w:w="80" w:type="dxa"/>
            </w:tcMar>
            <w:vAlign w:val="center"/>
          </w:tcPr>
          <w:p w14:paraId="2536B5B0" w14:textId="77777777" w:rsidR="007A2869" w:rsidRDefault="00000000">
            <w:pPr>
              <w:jc w:val="right"/>
            </w:pPr>
            <w:r>
              <w:rPr>
                <w:sz w:val="20"/>
                <w:szCs w:val="20"/>
              </w:rPr>
              <w:t>225.8</w:t>
            </w:r>
          </w:p>
        </w:tc>
      </w:tr>
      <w:tr w:rsidR="007A2869" w14:paraId="2536B5B9" w14:textId="77777777">
        <w:tblPrEx>
          <w:tblCellMar>
            <w:top w:w="0" w:type="dxa"/>
            <w:bottom w:w="0" w:type="dxa"/>
          </w:tblCellMar>
        </w:tblPrEx>
        <w:tc>
          <w:tcPr>
            <w:tcW w:w="2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B2" w14:textId="77777777" w:rsidR="007A2869" w:rsidRDefault="00000000">
            <w:r>
              <w:rPr>
                <w:sz w:val="20"/>
                <w:szCs w:val="20"/>
              </w:rPr>
              <w:t>Weighted CVaR</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B3" w14:textId="77777777" w:rsidR="007A2869" w:rsidRDefault="00000000">
            <w:pPr>
              <w:jc w:val="right"/>
            </w:pPr>
            <w:r>
              <w:rPr>
                <w:sz w:val="20"/>
                <w:szCs w:val="20"/>
              </w:rPr>
              <w:t>4.35</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B4" w14:textId="77777777" w:rsidR="007A2869" w:rsidRDefault="00000000">
            <w:pPr>
              <w:jc w:val="right"/>
            </w:pPr>
            <w:r>
              <w:rPr>
                <w:sz w:val="20"/>
                <w:szCs w:val="20"/>
              </w:rPr>
              <w:t>11.62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B5" w14:textId="77777777" w:rsidR="007A2869" w:rsidRDefault="00000000">
            <w:pPr>
              <w:jc w:val="right"/>
            </w:pPr>
            <w:r>
              <w:rPr>
                <w:sz w:val="20"/>
                <w:szCs w:val="20"/>
              </w:rPr>
              <w:t>0.368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B6" w14:textId="77777777" w:rsidR="007A2869" w:rsidRDefault="00000000">
            <w:pPr>
              <w:jc w:val="right"/>
            </w:pPr>
            <w:r>
              <w:rPr>
                <w:sz w:val="20"/>
                <w:szCs w:val="20"/>
              </w:rPr>
              <w:t>-25.4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B7" w14:textId="77777777" w:rsidR="007A2869" w:rsidRDefault="00000000">
            <w:pPr>
              <w:jc w:val="right"/>
            </w:pPr>
            <w:r>
              <w:rPr>
                <w:sz w:val="20"/>
                <w:szCs w:val="20"/>
              </w:rPr>
              <w:t>-3.88</w:t>
            </w:r>
          </w:p>
        </w:tc>
        <w:tc>
          <w:tcPr>
            <w:tcW w:w="9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B8" w14:textId="77777777" w:rsidR="007A2869" w:rsidRDefault="00000000">
            <w:pPr>
              <w:jc w:val="right"/>
            </w:pPr>
            <w:r>
              <w:rPr>
                <w:sz w:val="20"/>
                <w:szCs w:val="20"/>
              </w:rPr>
              <w:t>232.5</w:t>
            </w:r>
          </w:p>
        </w:tc>
      </w:tr>
    </w:tbl>
    <w:p w14:paraId="2536B5BA" w14:textId="77777777" w:rsidR="007A2869" w:rsidRDefault="007A2869">
      <w:pPr>
        <w:spacing w:line="480" w:lineRule="auto"/>
      </w:pPr>
    </w:p>
    <w:p w14:paraId="2536B5BB" w14:textId="77777777" w:rsidR="007A2869" w:rsidRDefault="00000000">
      <w:pPr>
        <w:keepNext/>
        <w:spacing w:before="480" w:line="300" w:lineRule="auto"/>
      </w:pPr>
      <w:r>
        <w:rPr>
          <w:b/>
          <w:bCs/>
          <w:sz w:val="22"/>
          <w:szCs w:val="22"/>
        </w:rPr>
        <w:t>TABLE V</w:t>
      </w:r>
    </w:p>
    <w:p w14:paraId="2536B5BC" w14:textId="77777777" w:rsidR="007A2869" w:rsidRDefault="00000000">
      <w:pPr>
        <w:keepNext/>
        <w:spacing w:after="60" w:line="300" w:lineRule="auto"/>
      </w:pPr>
      <w:r>
        <w:rPr>
          <w:sz w:val="22"/>
          <w:szCs w:val="22"/>
        </w:rPr>
        <w:t>Transaction-Cost Sensitivity, Panel B (Sharpe Ratio)</w:t>
      </w:r>
    </w:p>
    <w:p w14:paraId="2536B5BD" w14:textId="77777777" w:rsidR="007A2869" w:rsidRDefault="00000000">
      <w:pPr>
        <w:keepNext/>
        <w:spacing w:before="60" w:after="120" w:line="276" w:lineRule="auto"/>
      </w:pPr>
      <w:r>
        <w:rPr>
          <w:sz w:val="18"/>
          <w:szCs w:val="18"/>
        </w:rPr>
        <w:t>Net Sharpe ratios at four TC levels (0, 5, 10, 25 bps per one-way unit of turnover). Annual turnover reported at gross (TC = 0) level. TC is applied as TC_rate * one-way portfolio turnover, subtracted from gross weekly returns before computing Sharpe.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264"/>
        <w:gridCol w:w="1264"/>
        <w:gridCol w:w="1264"/>
        <w:gridCol w:w="1264"/>
        <w:gridCol w:w="1497"/>
      </w:tblGrid>
      <w:tr w:rsidR="007A2869" w14:paraId="2536B5C4" w14:textId="77777777">
        <w:tblPrEx>
          <w:tblCellMar>
            <w:top w:w="0" w:type="dxa"/>
            <w:bottom w:w="0" w:type="dxa"/>
          </w:tblCellMar>
        </w:tblPrEx>
        <w:trPr>
          <w:tblHeader/>
        </w:trPr>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BE" w14:textId="77777777" w:rsidR="007A2869" w:rsidRDefault="00000000">
            <w:r>
              <w:rPr>
                <w:b/>
                <w:bCs/>
                <w:sz w:val="20"/>
                <w:szCs w:val="20"/>
              </w:rPr>
              <w:t>Strategy</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BF" w14:textId="77777777" w:rsidR="007A2869" w:rsidRDefault="00000000">
            <w:pPr>
              <w:jc w:val="right"/>
            </w:pPr>
            <w:r>
              <w:rPr>
                <w:b/>
                <w:bCs/>
                <w:sz w:val="20"/>
                <w:szCs w:val="20"/>
              </w:rPr>
              <w:t>0 bps</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C0" w14:textId="77777777" w:rsidR="007A2869" w:rsidRDefault="00000000">
            <w:pPr>
              <w:jc w:val="right"/>
            </w:pPr>
            <w:r>
              <w:rPr>
                <w:b/>
                <w:bCs/>
                <w:sz w:val="20"/>
                <w:szCs w:val="20"/>
              </w:rPr>
              <w:t>5 bps</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C1" w14:textId="77777777" w:rsidR="007A2869" w:rsidRDefault="00000000">
            <w:pPr>
              <w:jc w:val="right"/>
            </w:pPr>
            <w:r>
              <w:rPr>
                <w:b/>
                <w:bCs/>
                <w:sz w:val="20"/>
                <w:szCs w:val="20"/>
              </w:rPr>
              <w:t>10 bps</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C2" w14:textId="77777777" w:rsidR="007A2869" w:rsidRDefault="00000000">
            <w:pPr>
              <w:jc w:val="right"/>
            </w:pPr>
            <w:r>
              <w:rPr>
                <w:b/>
                <w:bCs/>
                <w:sz w:val="20"/>
                <w:szCs w:val="20"/>
              </w:rPr>
              <w:t>25 bps</w:t>
            </w:r>
          </w:p>
        </w:tc>
        <w:tc>
          <w:tcPr>
            <w:tcW w:w="9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C3" w14:textId="77777777" w:rsidR="007A2869" w:rsidRDefault="00000000">
            <w:pPr>
              <w:jc w:val="right"/>
            </w:pPr>
            <w:r>
              <w:rPr>
                <w:b/>
                <w:bCs/>
                <w:sz w:val="20"/>
                <w:szCs w:val="20"/>
              </w:rPr>
              <w:t>Ann.TO%</w:t>
            </w:r>
          </w:p>
        </w:tc>
      </w:tr>
      <w:tr w:rsidR="007A2869" w14:paraId="2536B5CB"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5C5" w14:textId="77777777" w:rsidR="007A2869" w:rsidRDefault="00000000">
            <w:r>
              <w:rPr>
                <w:sz w:val="20"/>
                <w:szCs w:val="20"/>
              </w:rPr>
              <w:t>Equal-Weight Risky (1/N)</w:t>
            </w:r>
          </w:p>
        </w:tc>
        <w:tc>
          <w:tcPr>
            <w:tcW w:w="900" w:type="dxa"/>
            <w:tcBorders>
              <w:top w:val="nil"/>
              <w:left w:val="nil"/>
              <w:bottom w:val="nil"/>
              <w:right w:val="nil"/>
            </w:tcBorders>
            <w:tcMar>
              <w:top w:w="60" w:type="dxa"/>
              <w:left w:w="80" w:type="dxa"/>
              <w:bottom w:w="60" w:type="dxa"/>
              <w:right w:w="80" w:type="dxa"/>
            </w:tcMar>
            <w:vAlign w:val="center"/>
          </w:tcPr>
          <w:p w14:paraId="2536B5C6" w14:textId="77777777" w:rsidR="007A2869" w:rsidRDefault="00000000">
            <w:pPr>
              <w:jc w:val="right"/>
            </w:pPr>
            <w:r>
              <w:rPr>
                <w:sz w:val="20"/>
                <w:szCs w:val="20"/>
              </w:rPr>
              <w:t>0.409</w:t>
            </w:r>
          </w:p>
        </w:tc>
        <w:tc>
          <w:tcPr>
            <w:tcW w:w="900" w:type="dxa"/>
            <w:tcBorders>
              <w:top w:val="nil"/>
              <w:left w:val="nil"/>
              <w:bottom w:val="nil"/>
              <w:right w:val="nil"/>
            </w:tcBorders>
            <w:tcMar>
              <w:top w:w="60" w:type="dxa"/>
              <w:left w:w="80" w:type="dxa"/>
              <w:bottom w:w="60" w:type="dxa"/>
              <w:right w:w="80" w:type="dxa"/>
            </w:tcMar>
            <w:vAlign w:val="center"/>
          </w:tcPr>
          <w:p w14:paraId="2536B5C7" w14:textId="77777777" w:rsidR="007A2869" w:rsidRDefault="00000000">
            <w:pPr>
              <w:jc w:val="right"/>
            </w:pPr>
            <w:r>
              <w:rPr>
                <w:sz w:val="20"/>
                <w:szCs w:val="20"/>
              </w:rPr>
              <w:t>0.407</w:t>
            </w:r>
          </w:p>
        </w:tc>
        <w:tc>
          <w:tcPr>
            <w:tcW w:w="900" w:type="dxa"/>
            <w:tcBorders>
              <w:top w:val="nil"/>
              <w:left w:val="nil"/>
              <w:bottom w:val="nil"/>
              <w:right w:val="nil"/>
            </w:tcBorders>
            <w:tcMar>
              <w:top w:w="60" w:type="dxa"/>
              <w:left w:w="80" w:type="dxa"/>
              <w:bottom w:w="60" w:type="dxa"/>
              <w:right w:w="80" w:type="dxa"/>
            </w:tcMar>
            <w:vAlign w:val="center"/>
          </w:tcPr>
          <w:p w14:paraId="2536B5C8" w14:textId="77777777" w:rsidR="007A2869" w:rsidRDefault="00000000">
            <w:pPr>
              <w:jc w:val="right"/>
            </w:pPr>
            <w:r>
              <w:rPr>
                <w:sz w:val="20"/>
                <w:szCs w:val="20"/>
              </w:rPr>
              <w:t>0.406</w:t>
            </w:r>
          </w:p>
        </w:tc>
        <w:tc>
          <w:tcPr>
            <w:tcW w:w="900" w:type="dxa"/>
            <w:tcBorders>
              <w:top w:val="nil"/>
              <w:left w:val="nil"/>
              <w:bottom w:val="nil"/>
              <w:right w:val="nil"/>
            </w:tcBorders>
            <w:tcMar>
              <w:top w:w="60" w:type="dxa"/>
              <w:left w:w="80" w:type="dxa"/>
              <w:bottom w:w="60" w:type="dxa"/>
              <w:right w:w="80" w:type="dxa"/>
            </w:tcMar>
            <w:vAlign w:val="center"/>
          </w:tcPr>
          <w:p w14:paraId="2536B5C9" w14:textId="77777777" w:rsidR="007A2869" w:rsidRDefault="00000000">
            <w:pPr>
              <w:jc w:val="right"/>
            </w:pPr>
            <w:r>
              <w:rPr>
                <w:sz w:val="20"/>
                <w:szCs w:val="20"/>
              </w:rPr>
              <w:t>0.403</w:t>
            </w:r>
          </w:p>
        </w:tc>
        <w:tc>
          <w:tcPr>
            <w:tcW w:w="960" w:type="dxa"/>
            <w:tcBorders>
              <w:top w:val="nil"/>
              <w:left w:val="nil"/>
              <w:bottom w:val="nil"/>
              <w:right w:val="nil"/>
            </w:tcBorders>
            <w:tcMar>
              <w:top w:w="60" w:type="dxa"/>
              <w:left w:w="80" w:type="dxa"/>
              <w:bottom w:w="60" w:type="dxa"/>
              <w:right w:w="80" w:type="dxa"/>
            </w:tcMar>
            <w:vAlign w:val="center"/>
          </w:tcPr>
          <w:p w14:paraId="2536B5CA" w14:textId="77777777" w:rsidR="007A2869" w:rsidRDefault="00000000">
            <w:pPr>
              <w:jc w:val="right"/>
            </w:pPr>
            <w:r>
              <w:rPr>
                <w:sz w:val="20"/>
                <w:szCs w:val="20"/>
              </w:rPr>
              <w:t>35.2</w:t>
            </w:r>
          </w:p>
        </w:tc>
      </w:tr>
      <w:tr w:rsidR="007A2869" w14:paraId="2536B5D2"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5CC" w14:textId="77777777" w:rsidR="007A2869" w:rsidRDefault="00000000">
            <w:r>
              <w:rPr>
                <w:sz w:val="20"/>
                <w:szCs w:val="20"/>
              </w:rPr>
              <w:t>STOXX Europe 600</w:t>
            </w:r>
          </w:p>
        </w:tc>
        <w:tc>
          <w:tcPr>
            <w:tcW w:w="900" w:type="dxa"/>
            <w:tcBorders>
              <w:top w:val="nil"/>
              <w:left w:val="nil"/>
              <w:bottom w:val="nil"/>
              <w:right w:val="nil"/>
            </w:tcBorders>
            <w:tcMar>
              <w:top w:w="60" w:type="dxa"/>
              <w:left w:w="80" w:type="dxa"/>
              <w:bottom w:w="60" w:type="dxa"/>
              <w:right w:w="80" w:type="dxa"/>
            </w:tcMar>
            <w:vAlign w:val="center"/>
          </w:tcPr>
          <w:p w14:paraId="2536B5CD" w14:textId="77777777" w:rsidR="007A2869" w:rsidRDefault="00000000">
            <w:pPr>
              <w:jc w:val="right"/>
            </w:pPr>
            <w:r>
              <w:rPr>
                <w:sz w:val="20"/>
                <w:szCs w:val="20"/>
              </w:rPr>
              <w:t>0.363</w:t>
            </w:r>
          </w:p>
        </w:tc>
        <w:tc>
          <w:tcPr>
            <w:tcW w:w="900" w:type="dxa"/>
            <w:tcBorders>
              <w:top w:val="nil"/>
              <w:left w:val="nil"/>
              <w:bottom w:val="nil"/>
              <w:right w:val="nil"/>
            </w:tcBorders>
            <w:tcMar>
              <w:top w:w="60" w:type="dxa"/>
              <w:left w:w="80" w:type="dxa"/>
              <w:bottom w:w="60" w:type="dxa"/>
              <w:right w:w="80" w:type="dxa"/>
            </w:tcMar>
            <w:vAlign w:val="center"/>
          </w:tcPr>
          <w:p w14:paraId="2536B5CE" w14:textId="77777777" w:rsidR="007A2869" w:rsidRDefault="00000000">
            <w:pPr>
              <w:jc w:val="right"/>
            </w:pPr>
            <w:r>
              <w:rPr>
                <w:sz w:val="20"/>
                <w:szCs w:val="20"/>
              </w:rPr>
              <w:t>0.363</w:t>
            </w:r>
          </w:p>
        </w:tc>
        <w:tc>
          <w:tcPr>
            <w:tcW w:w="900" w:type="dxa"/>
            <w:tcBorders>
              <w:top w:val="nil"/>
              <w:left w:val="nil"/>
              <w:bottom w:val="nil"/>
              <w:right w:val="nil"/>
            </w:tcBorders>
            <w:tcMar>
              <w:top w:w="60" w:type="dxa"/>
              <w:left w:w="80" w:type="dxa"/>
              <w:bottom w:w="60" w:type="dxa"/>
              <w:right w:w="80" w:type="dxa"/>
            </w:tcMar>
            <w:vAlign w:val="center"/>
          </w:tcPr>
          <w:p w14:paraId="2536B5CF" w14:textId="77777777" w:rsidR="007A2869" w:rsidRDefault="00000000">
            <w:pPr>
              <w:jc w:val="right"/>
            </w:pPr>
            <w:r>
              <w:rPr>
                <w:sz w:val="20"/>
                <w:szCs w:val="20"/>
              </w:rPr>
              <w:t>0.363</w:t>
            </w:r>
          </w:p>
        </w:tc>
        <w:tc>
          <w:tcPr>
            <w:tcW w:w="900" w:type="dxa"/>
            <w:tcBorders>
              <w:top w:val="nil"/>
              <w:left w:val="nil"/>
              <w:bottom w:val="nil"/>
              <w:right w:val="nil"/>
            </w:tcBorders>
            <w:tcMar>
              <w:top w:w="60" w:type="dxa"/>
              <w:left w:w="80" w:type="dxa"/>
              <w:bottom w:w="60" w:type="dxa"/>
              <w:right w:w="80" w:type="dxa"/>
            </w:tcMar>
            <w:vAlign w:val="center"/>
          </w:tcPr>
          <w:p w14:paraId="2536B5D0" w14:textId="77777777" w:rsidR="007A2869" w:rsidRDefault="00000000">
            <w:pPr>
              <w:jc w:val="right"/>
            </w:pPr>
            <w:r>
              <w:rPr>
                <w:sz w:val="20"/>
                <w:szCs w:val="20"/>
              </w:rPr>
              <w:t>0.363</w:t>
            </w:r>
          </w:p>
        </w:tc>
        <w:tc>
          <w:tcPr>
            <w:tcW w:w="960" w:type="dxa"/>
            <w:tcBorders>
              <w:top w:val="nil"/>
              <w:left w:val="nil"/>
              <w:bottom w:val="nil"/>
              <w:right w:val="nil"/>
            </w:tcBorders>
            <w:tcMar>
              <w:top w:w="60" w:type="dxa"/>
              <w:left w:w="80" w:type="dxa"/>
              <w:bottom w:w="60" w:type="dxa"/>
              <w:right w:w="80" w:type="dxa"/>
            </w:tcMar>
            <w:vAlign w:val="center"/>
          </w:tcPr>
          <w:p w14:paraId="2536B5D1" w14:textId="77777777" w:rsidR="007A2869" w:rsidRDefault="00000000">
            <w:pPr>
              <w:jc w:val="right"/>
            </w:pPr>
            <w:r>
              <w:rPr>
                <w:sz w:val="20"/>
                <w:szCs w:val="20"/>
              </w:rPr>
              <w:t>0.0</w:t>
            </w:r>
          </w:p>
        </w:tc>
      </w:tr>
      <w:tr w:rsidR="007A2869" w14:paraId="2536B5D9"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5D3" w14:textId="77777777" w:rsidR="007A2869" w:rsidRDefault="00000000">
            <w:r>
              <w:rPr>
                <w:b/>
                <w:bCs/>
                <w:sz w:val="20"/>
                <w:szCs w:val="20"/>
              </w:rPr>
              <w:t>Static CVaR</w:t>
            </w:r>
          </w:p>
        </w:tc>
        <w:tc>
          <w:tcPr>
            <w:tcW w:w="900" w:type="dxa"/>
            <w:tcBorders>
              <w:top w:val="nil"/>
              <w:left w:val="nil"/>
              <w:bottom w:val="nil"/>
              <w:right w:val="nil"/>
            </w:tcBorders>
            <w:tcMar>
              <w:top w:w="60" w:type="dxa"/>
              <w:left w:w="80" w:type="dxa"/>
              <w:bottom w:w="60" w:type="dxa"/>
              <w:right w:w="80" w:type="dxa"/>
            </w:tcMar>
            <w:vAlign w:val="center"/>
          </w:tcPr>
          <w:p w14:paraId="2536B5D4" w14:textId="77777777" w:rsidR="007A2869" w:rsidRDefault="00000000">
            <w:pPr>
              <w:jc w:val="right"/>
            </w:pPr>
            <w:r>
              <w:rPr>
                <w:b/>
                <w:bCs/>
                <w:sz w:val="20"/>
                <w:szCs w:val="20"/>
              </w:rPr>
              <w:t>0.530</w:t>
            </w:r>
          </w:p>
        </w:tc>
        <w:tc>
          <w:tcPr>
            <w:tcW w:w="900" w:type="dxa"/>
            <w:tcBorders>
              <w:top w:val="nil"/>
              <w:left w:val="nil"/>
              <w:bottom w:val="nil"/>
              <w:right w:val="nil"/>
            </w:tcBorders>
            <w:tcMar>
              <w:top w:w="60" w:type="dxa"/>
              <w:left w:w="80" w:type="dxa"/>
              <w:bottom w:w="60" w:type="dxa"/>
              <w:right w:w="80" w:type="dxa"/>
            </w:tcMar>
            <w:vAlign w:val="center"/>
          </w:tcPr>
          <w:p w14:paraId="2536B5D5" w14:textId="77777777" w:rsidR="007A2869" w:rsidRDefault="00000000">
            <w:pPr>
              <w:jc w:val="right"/>
            </w:pPr>
            <w:r>
              <w:rPr>
                <w:b/>
                <w:bCs/>
                <w:sz w:val="20"/>
                <w:szCs w:val="20"/>
              </w:rPr>
              <w:t>0.529</w:t>
            </w:r>
          </w:p>
        </w:tc>
        <w:tc>
          <w:tcPr>
            <w:tcW w:w="900" w:type="dxa"/>
            <w:tcBorders>
              <w:top w:val="nil"/>
              <w:left w:val="nil"/>
              <w:bottom w:val="nil"/>
              <w:right w:val="nil"/>
            </w:tcBorders>
            <w:tcMar>
              <w:top w:w="60" w:type="dxa"/>
              <w:left w:w="80" w:type="dxa"/>
              <w:bottom w:w="60" w:type="dxa"/>
              <w:right w:w="80" w:type="dxa"/>
            </w:tcMar>
            <w:vAlign w:val="center"/>
          </w:tcPr>
          <w:p w14:paraId="2536B5D6" w14:textId="77777777" w:rsidR="007A2869" w:rsidRDefault="00000000">
            <w:pPr>
              <w:jc w:val="right"/>
            </w:pPr>
            <w:r>
              <w:rPr>
                <w:b/>
                <w:bCs/>
                <w:sz w:val="20"/>
                <w:szCs w:val="20"/>
              </w:rPr>
              <w:t>0.528</w:t>
            </w:r>
          </w:p>
        </w:tc>
        <w:tc>
          <w:tcPr>
            <w:tcW w:w="900" w:type="dxa"/>
            <w:tcBorders>
              <w:top w:val="nil"/>
              <w:left w:val="nil"/>
              <w:bottom w:val="nil"/>
              <w:right w:val="nil"/>
            </w:tcBorders>
            <w:tcMar>
              <w:top w:w="60" w:type="dxa"/>
              <w:left w:w="80" w:type="dxa"/>
              <w:bottom w:w="60" w:type="dxa"/>
              <w:right w:w="80" w:type="dxa"/>
            </w:tcMar>
            <w:vAlign w:val="center"/>
          </w:tcPr>
          <w:p w14:paraId="2536B5D7" w14:textId="77777777" w:rsidR="007A2869" w:rsidRDefault="00000000">
            <w:pPr>
              <w:jc w:val="right"/>
            </w:pPr>
            <w:r>
              <w:rPr>
                <w:b/>
                <w:bCs/>
                <w:sz w:val="20"/>
                <w:szCs w:val="20"/>
              </w:rPr>
              <w:t>0.525</w:t>
            </w:r>
          </w:p>
        </w:tc>
        <w:tc>
          <w:tcPr>
            <w:tcW w:w="960" w:type="dxa"/>
            <w:tcBorders>
              <w:top w:val="nil"/>
              <w:left w:val="nil"/>
              <w:bottom w:val="nil"/>
              <w:right w:val="nil"/>
            </w:tcBorders>
            <w:tcMar>
              <w:top w:w="60" w:type="dxa"/>
              <w:left w:w="80" w:type="dxa"/>
              <w:bottom w:w="60" w:type="dxa"/>
              <w:right w:w="80" w:type="dxa"/>
            </w:tcMar>
            <w:vAlign w:val="center"/>
          </w:tcPr>
          <w:p w14:paraId="2536B5D8" w14:textId="77777777" w:rsidR="007A2869" w:rsidRDefault="00000000">
            <w:pPr>
              <w:jc w:val="right"/>
            </w:pPr>
            <w:r>
              <w:rPr>
                <w:b/>
                <w:bCs/>
                <w:sz w:val="20"/>
                <w:szCs w:val="20"/>
              </w:rPr>
              <w:t>21.4</w:t>
            </w:r>
          </w:p>
        </w:tc>
      </w:tr>
      <w:tr w:rsidR="007A2869" w14:paraId="2536B5E0"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5DA" w14:textId="77777777" w:rsidR="007A2869" w:rsidRDefault="00000000">
            <w:r>
              <w:rPr>
                <w:sz w:val="20"/>
                <w:szCs w:val="20"/>
              </w:rPr>
              <w:t>Markowitz (Min-Var)</w:t>
            </w:r>
          </w:p>
        </w:tc>
        <w:tc>
          <w:tcPr>
            <w:tcW w:w="900" w:type="dxa"/>
            <w:tcBorders>
              <w:top w:val="nil"/>
              <w:left w:val="nil"/>
              <w:bottom w:val="nil"/>
              <w:right w:val="nil"/>
            </w:tcBorders>
            <w:tcMar>
              <w:top w:w="60" w:type="dxa"/>
              <w:left w:w="80" w:type="dxa"/>
              <w:bottom w:w="60" w:type="dxa"/>
              <w:right w:w="80" w:type="dxa"/>
            </w:tcMar>
            <w:vAlign w:val="center"/>
          </w:tcPr>
          <w:p w14:paraId="2536B5DB" w14:textId="77777777" w:rsidR="007A2869" w:rsidRDefault="00000000">
            <w:pPr>
              <w:jc w:val="right"/>
            </w:pPr>
            <w:r>
              <w:rPr>
                <w:sz w:val="20"/>
                <w:szCs w:val="20"/>
              </w:rPr>
              <w:t>0.447</w:t>
            </w:r>
          </w:p>
        </w:tc>
        <w:tc>
          <w:tcPr>
            <w:tcW w:w="900" w:type="dxa"/>
            <w:tcBorders>
              <w:top w:val="nil"/>
              <w:left w:val="nil"/>
              <w:bottom w:val="nil"/>
              <w:right w:val="nil"/>
            </w:tcBorders>
            <w:tcMar>
              <w:top w:w="60" w:type="dxa"/>
              <w:left w:w="80" w:type="dxa"/>
              <w:bottom w:w="60" w:type="dxa"/>
              <w:right w:w="80" w:type="dxa"/>
            </w:tcMar>
            <w:vAlign w:val="center"/>
          </w:tcPr>
          <w:p w14:paraId="2536B5DC" w14:textId="77777777" w:rsidR="007A2869" w:rsidRDefault="00000000">
            <w:pPr>
              <w:jc w:val="right"/>
            </w:pPr>
            <w:r>
              <w:rPr>
                <w:sz w:val="20"/>
                <w:szCs w:val="20"/>
              </w:rPr>
              <w:t>0.446</w:t>
            </w:r>
          </w:p>
        </w:tc>
        <w:tc>
          <w:tcPr>
            <w:tcW w:w="900" w:type="dxa"/>
            <w:tcBorders>
              <w:top w:val="nil"/>
              <w:left w:val="nil"/>
              <w:bottom w:val="nil"/>
              <w:right w:val="nil"/>
            </w:tcBorders>
            <w:tcMar>
              <w:top w:w="60" w:type="dxa"/>
              <w:left w:w="80" w:type="dxa"/>
              <w:bottom w:w="60" w:type="dxa"/>
              <w:right w:w="80" w:type="dxa"/>
            </w:tcMar>
            <w:vAlign w:val="center"/>
          </w:tcPr>
          <w:p w14:paraId="2536B5DD" w14:textId="77777777" w:rsidR="007A2869" w:rsidRDefault="00000000">
            <w:pPr>
              <w:jc w:val="right"/>
            </w:pPr>
            <w:r>
              <w:rPr>
                <w:sz w:val="20"/>
                <w:szCs w:val="20"/>
              </w:rPr>
              <w:t>0.445</w:t>
            </w:r>
          </w:p>
        </w:tc>
        <w:tc>
          <w:tcPr>
            <w:tcW w:w="900" w:type="dxa"/>
            <w:tcBorders>
              <w:top w:val="nil"/>
              <w:left w:val="nil"/>
              <w:bottom w:val="nil"/>
              <w:right w:val="nil"/>
            </w:tcBorders>
            <w:tcMar>
              <w:top w:w="60" w:type="dxa"/>
              <w:left w:w="80" w:type="dxa"/>
              <w:bottom w:w="60" w:type="dxa"/>
              <w:right w:w="80" w:type="dxa"/>
            </w:tcMar>
            <w:vAlign w:val="center"/>
          </w:tcPr>
          <w:p w14:paraId="2536B5DE" w14:textId="77777777" w:rsidR="007A2869" w:rsidRDefault="00000000">
            <w:pPr>
              <w:jc w:val="right"/>
            </w:pPr>
            <w:r>
              <w:rPr>
                <w:sz w:val="20"/>
                <w:szCs w:val="20"/>
              </w:rPr>
              <w:t>0.444</w:t>
            </w:r>
          </w:p>
        </w:tc>
        <w:tc>
          <w:tcPr>
            <w:tcW w:w="960" w:type="dxa"/>
            <w:tcBorders>
              <w:top w:val="nil"/>
              <w:left w:val="nil"/>
              <w:bottom w:val="nil"/>
              <w:right w:val="nil"/>
            </w:tcBorders>
            <w:tcMar>
              <w:top w:w="60" w:type="dxa"/>
              <w:left w:w="80" w:type="dxa"/>
              <w:bottom w:w="60" w:type="dxa"/>
              <w:right w:w="80" w:type="dxa"/>
            </w:tcMar>
            <w:vAlign w:val="center"/>
          </w:tcPr>
          <w:p w14:paraId="2536B5DF" w14:textId="77777777" w:rsidR="007A2869" w:rsidRDefault="00000000">
            <w:pPr>
              <w:jc w:val="right"/>
            </w:pPr>
            <w:r>
              <w:rPr>
                <w:sz w:val="20"/>
                <w:szCs w:val="20"/>
              </w:rPr>
              <w:t>12.3</w:t>
            </w:r>
          </w:p>
        </w:tc>
      </w:tr>
      <w:tr w:rsidR="007A2869" w14:paraId="2536B5E7"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5E1" w14:textId="77777777" w:rsidR="007A2869" w:rsidRDefault="00000000">
            <w:r>
              <w:rPr>
                <w:sz w:val="20"/>
                <w:szCs w:val="20"/>
              </w:rPr>
              <w:t>Regime CVaR-A</w:t>
            </w:r>
          </w:p>
        </w:tc>
        <w:tc>
          <w:tcPr>
            <w:tcW w:w="900" w:type="dxa"/>
            <w:tcBorders>
              <w:top w:val="nil"/>
              <w:left w:val="nil"/>
              <w:bottom w:val="nil"/>
              <w:right w:val="nil"/>
            </w:tcBorders>
            <w:tcMar>
              <w:top w:w="60" w:type="dxa"/>
              <w:left w:w="80" w:type="dxa"/>
              <w:bottom w:w="60" w:type="dxa"/>
              <w:right w:w="80" w:type="dxa"/>
            </w:tcMar>
            <w:vAlign w:val="center"/>
          </w:tcPr>
          <w:p w14:paraId="2536B5E2" w14:textId="77777777" w:rsidR="007A2869" w:rsidRDefault="00000000">
            <w:pPr>
              <w:jc w:val="right"/>
            </w:pPr>
            <w:r>
              <w:rPr>
                <w:sz w:val="20"/>
                <w:szCs w:val="20"/>
              </w:rPr>
              <w:t>0.365</w:t>
            </w:r>
          </w:p>
        </w:tc>
        <w:tc>
          <w:tcPr>
            <w:tcW w:w="900" w:type="dxa"/>
            <w:tcBorders>
              <w:top w:val="nil"/>
              <w:left w:val="nil"/>
              <w:bottom w:val="nil"/>
              <w:right w:val="nil"/>
            </w:tcBorders>
            <w:tcMar>
              <w:top w:w="60" w:type="dxa"/>
              <w:left w:w="80" w:type="dxa"/>
              <w:bottom w:w="60" w:type="dxa"/>
              <w:right w:w="80" w:type="dxa"/>
            </w:tcMar>
            <w:vAlign w:val="center"/>
          </w:tcPr>
          <w:p w14:paraId="2536B5E3" w14:textId="77777777" w:rsidR="007A2869" w:rsidRDefault="00000000">
            <w:pPr>
              <w:jc w:val="right"/>
            </w:pPr>
            <w:r>
              <w:rPr>
                <w:sz w:val="20"/>
                <w:szCs w:val="20"/>
              </w:rPr>
              <w:t>0.355</w:t>
            </w:r>
          </w:p>
        </w:tc>
        <w:tc>
          <w:tcPr>
            <w:tcW w:w="900" w:type="dxa"/>
            <w:tcBorders>
              <w:top w:val="nil"/>
              <w:left w:val="nil"/>
              <w:bottom w:val="nil"/>
              <w:right w:val="nil"/>
            </w:tcBorders>
            <w:tcMar>
              <w:top w:w="60" w:type="dxa"/>
              <w:left w:w="80" w:type="dxa"/>
              <w:bottom w:w="60" w:type="dxa"/>
              <w:right w:w="80" w:type="dxa"/>
            </w:tcMar>
            <w:vAlign w:val="center"/>
          </w:tcPr>
          <w:p w14:paraId="2536B5E4" w14:textId="77777777" w:rsidR="007A2869" w:rsidRDefault="00000000">
            <w:pPr>
              <w:jc w:val="right"/>
            </w:pPr>
            <w:r>
              <w:rPr>
                <w:sz w:val="20"/>
                <w:szCs w:val="20"/>
              </w:rPr>
              <w:t>0.346</w:t>
            </w:r>
          </w:p>
        </w:tc>
        <w:tc>
          <w:tcPr>
            <w:tcW w:w="900" w:type="dxa"/>
            <w:tcBorders>
              <w:top w:val="nil"/>
              <w:left w:val="nil"/>
              <w:bottom w:val="nil"/>
              <w:right w:val="nil"/>
            </w:tcBorders>
            <w:tcMar>
              <w:top w:w="60" w:type="dxa"/>
              <w:left w:w="80" w:type="dxa"/>
              <w:bottom w:w="60" w:type="dxa"/>
              <w:right w:w="80" w:type="dxa"/>
            </w:tcMar>
            <w:vAlign w:val="center"/>
          </w:tcPr>
          <w:p w14:paraId="2536B5E5" w14:textId="77777777" w:rsidR="007A2869" w:rsidRDefault="00000000">
            <w:pPr>
              <w:jc w:val="right"/>
            </w:pPr>
            <w:r>
              <w:rPr>
                <w:sz w:val="20"/>
                <w:szCs w:val="20"/>
              </w:rPr>
              <w:t>0.317</w:t>
            </w:r>
          </w:p>
        </w:tc>
        <w:tc>
          <w:tcPr>
            <w:tcW w:w="960" w:type="dxa"/>
            <w:tcBorders>
              <w:top w:val="nil"/>
              <w:left w:val="nil"/>
              <w:bottom w:val="nil"/>
              <w:right w:val="nil"/>
            </w:tcBorders>
            <w:tcMar>
              <w:top w:w="60" w:type="dxa"/>
              <w:left w:w="80" w:type="dxa"/>
              <w:bottom w:w="60" w:type="dxa"/>
              <w:right w:w="80" w:type="dxa"/>
            </w:tcMar>
            <w:vAlign w:val="center"/>
          </w:tcPr>
          <w:p w14:paraId="2536B5E6" w14:textId="77777777" w:rsidR="007A2869" w:rsidRDefault="00000000">
            <w:pPr>
              <w:jc w:val="right"/>
            </w:pPr>
            <w:r>
              <w:rPr>
                <w:sz w:val="20"/>
                <w:szCs w:val="20"/>
              </w:rPr>
              <w:t>225.8</w:t>
            </w:r>
          </w:p>
        </w:tc>
      </w:tr>
      <w:tr w:rsidR="007A2869" w14:paraId="2536B5EE" w14:textId="77777777">
        <w:tblPrEx>
          <w:tblCellMar>
            <w:top w:w="0" w:type="dxa"/>
            <w:bottom w:w="0" w:type="dxa"/>
          </w:tblCellMar>
        </w:tblPrEx>
        <w:tc>
          <w:tcPr>
            <w:tcW w:w="2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E8" w14:textId="77777777" w:rsidR="007A2869" w:rsidRDefault="00000000">
            <w:r>
              <w:rPr>
                <w:sz w:val="20"/>
                <w:szCs w:val="20"/>
              </w:rPr>
              <w:t>Weighted CVaR</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E9" w14:textId="77777777" w:rsidR="007A2869" w:rsidRDefault="00000000">
            <w:pPr>
              <w:jc w:val="right"/>
            </w:pPr>
            <w:r>
              <w:rPr>
                <w:sz w:val="20"/>
                <w:szCs w:val="20"/>
              </w:rPr>
              <w:t>0.368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EA" w14:textId="77777777" w:rsidR="007A2869" w:rsidRDefault="00000000">
            <w:pPr>
              <w:jc w:val="right"/>
            </w:pPr>
            <w:r>
              <w:rPr>
                <w:sz w:val="20"/>
                <w:szCs w:val="20"/>
              </w:rPr>
              <w:t>0.358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EB" w14:textId="77777777" w:rsidR="007A2869" w:rsidRDefault="00000000">
            <w:pPr>
              <w:jc w:val="right"/>
            </w:pPr>
            <w:r>
              <w:rPr>
                <w:sz w:val="20"/>
                <w:szCs w:val="20"/>
              </w:rPr>
              <w:t>0.348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EC" w14:textId="77777777" w:rsidR="007A2869" w:rsidRDefault="00000000">
            <w:pPr>
              <w:jc w:val="right"/>
            </w:pPr>
            <w:r>
              <w:rPr>
                <w:sz w:val="20"/>
                <w:szCs w:val="20"/>
              </w:rPr>
              <w:t>0.318</w:t>
            </w:r>
          </w:p>
        </w:tc>
        <w:tc>
          <w:tcPr>
            <w:tcW w:w="9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5ED" w14:textId="77777777" w:rsidR="007A2869" w:rsidRDefault="00000000">
            <w:pPr>
              <w:jc w:val="right"/>
            </w:pPr>
            <w:r>
              <w:rPr>
                <w:sz w:val="20"/>
                <w:szCs w:val="20"/>
              </w:rPr>
              <w:t>232.5</w:t>
            </w:r>
          </w:p>
        </w:tc>
      </w:tr>
    </w:tbl>
    <w:p w14:paraId="2536B5EF" w14:textId="77777777" w:rsidR="007A2869" w:rsidRDefault="007A2869">
      <w:pPr>
        <w:spacing w:line="480" w:lineRule="auto"/>
      </w:pPr>
    </w:p>
    <w:p w14:paraId="2536B5F0" w14:textId="77777777" w:rsidR="007A2869" w:rsidRDefault="00000000">
      <w:pPr>
        <w:keepNext/>
        <w:spacing w:before="480" w:line="300" w:lineRule="auto"/>
      </w:pPr>
      <w:r>
        <w:rPr>
          <w:b/>
          <w:bCs/>
          <w:sz w:val="22"/>
          <w:szCs w:val="22"/>
        </w:rPr>
        <w:t>TABLE VI</w:t>
      </w:r>
    </w:p>
    <w:p w14:paraId="2536B5F1" w14:textId="77777777" w:rsidR="007A2869" w:rsidRDefault="00000000">
      <w:pPr>
        <w:keepNext/>
        <w:spacing w:after="60" w:line="300" w:lineRule="auto"/>
      </w:pPr>
      <w:r>
        <w:rPr>
          <w:sz w:val="22"/>
          <w:szCs w:val="22"/>
        </w:rPr>
        <w:t>Statistical Tests, Panel B (2010 to 2026)</w:t>
      </w:r>
    </w:p>
    <w:p w14:paraId="2536B5F2" w14:textId="77777777" w:rsidR="007A2869" w:rsidRDefault="00000000">
      <w:pPr>
        <w:keepNext/>
        <w:spacing w:before="60" w:after="120" w:line="276" w:lineRule="auto"/>
      </w:pPr>
      <w:r>
        <w:rPr>
          <w:sz w:val="18"/>
          <w:szCs w:val="18"/>
        </w:rPr>
        <w:t xml:space="preserve">Panel A: HAC/Newey-West one-sided t-test on weekly excess-return differentials (strategy minus Equal-Weight Risky benchmark), Newey-West lag = 13 weeks. H_1: strategy mean excess return &gt; benchmark. Panel B: Circular block-bootstrap 95% Sharpe confidence intervals, block = 13 weeks, 5,000 draws. Bootstrap CIs report individual strategy Sharpe uncertainty; </w:t>
      </w:r>
      <w:r>
        <w:rPr>
          <w:sz w:val="18"/>
          <w:szCs w:val="18"/>
        </w:rPr>
        <w:lastRenderedPageBreak/>
        <w:t>they do not constitute pairwise tests of Sharpe equality. *, **, *** denote significance at 10%, 5%, 1% levels. No test achieves conventional significance.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1164"/>
        <w:gridCol w:w="1091"/>
        <w:gridCol w:w="1164"/>
        <w:gridCol w:w="606"/>
        <w:gridCol w:w="1091"/>
        <w:gridCol w:w="970"/>
        <w:gridCol w:w="970"/>
      </w:tblGrid>
      <w:tr w:rsidR="007A2869" w14:paraId="2536B5FB" w14:textId="77777777">
        <w:tblPrEx>
          <w:tblCellMar>
            <w:top w:w="0" w:type="dxa"/>
            <w:bottom w:w="0" w:type="dxa"/>
          </w:tblCellMar>
        </w:tblPrEx>
        <w:trPr>
          <w:tblHeader/>
        </w:trPr>
        <w:tc>
          <w:tcPr>
            <w:tcW w:w="1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F3" w14:textId="77777777" w:rsidR="007A2869" w:rsidRDefault="00000000">
            <w:r>
              <w:rPr>
                <w:b/>
                <w:bCs/>
                <w:sz w:val="20"/>
                <w:szCs w:val="20"/>
              </w:rPr>
              <w:t>Strategy</w:t>
            </w:r>
          </w:p>
        </w:tc>
        <w:tc>
          <w:tcPr>
            <w:tcW w:w="9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F4" w14:textId="77777777" w:rsidR="007A2869" w:rsidRDefault="00000000">
            <w:pPr>
              <w:jc w:val="right"/>
            </w:pPr>
            <w:r>
              <w:rPr>
                <w:b/>
                <w:bCs/>
                <w:sz w:val="20"/>
                <w:szCs w:val="20"/>
              </w:rPr>
              <w:t>Ann.Diff</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F5" w14:textId="77777777" w:rsidR="007A2869" w:rsidRDefault="00000000">
            <w:pPr>
              <w:jc w:val="right"/>
            </w:pPr>
            <w:r>
              <w:rPr>
                <w:b/>
                <w:bCs/>
                <w:sz w:val="20"/>
                <w:szCs w:val="20"/>
              </w:rPr>
              <w:t>t-stat</w:t>
            </w:r>
          </w:p>
        </w:tc>
        <w:tc>
          <w:tcPr>
            <w:tcW w:w="9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F6" w14:textId="77777777" w:rsidR="007A2869" w:rsidRDefault="00000000">
            <w:pPr>
              <w:jc w:val="right"/>
            </w:pPr>
            <w:r>
              <w:rPr>
                <w:b/>
                <w:bCs/>
                <w:sz w:val="20"/>
                <w:szCs w:val="20"/>
              </w:rPr>
              <w:t>p(1-sided)</w:t>
            </w:r>
          </w:p>
        </w:tc>
        <w:tc>
          <w:tcPr>
            <w:tcW w:w="5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F7" w14:textId="77777777" w:rsidR="007A2869" w:rsidRDefault="00000000">
            <w:pPr>
              <w:jc w:val="right"/>
            </w:pPr>
            <w:r>
              <w:rPr>
                <w:b/>
                <w:bCs/>
                <w:sz w:val="20"/>
                <w:szCs w:val="20"/>
              </w:rPr>
              <w:t>Sig</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F8" w14:textId="77777777" w:rsidR="007A2869" w:rsidRDefault="00000000">
            <w:pPr>
              <w:jc w:val="right"/>
            </w:pPr>
            <w:r>
              <w:rPr>
                <w:b/>
                <w:bCs/>
                <w:sz w:val="20"/>
                <w:szCs w:val="20"/>
              </w:rPr>
              <w:t>Sharpe</w:t>
            </w:r>
          </w:p>
        </w:tc>
        <w:tc>
          <w:tcPr>
            <w:tcW w:w="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F9" w14:textId="77777777" w:rsidR="007A2869" w:rsidRDefault="00000000">
            <w:pPr>
              <w:jc w:val="right"/>
            </w:pPr>
            <w:r>
              <w:rPr>
                <w:b/>
                <w:bCs/>
                <w:sz w:val="20"/>
                <w:szCs w:val="20"/>
              </w:rPr>
              <w:t>CI Lo</w:t>
            </w:r>
          </w:p>
        </w:tc>
        <w:tc>
          <w:tcPr>
            <w:tcW w:w="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5FA" w14:textId="77777777" w:rsidR="007A2869" w:rsidRDefault="00000000">
            <w:pPr>
              <w:jc w:val="right"/>
            </w:pPr>
            <w:r>
              <w:rPr>
                <w:b/>
                <w:bCs/>
                <w:sz w:val="20"/>
                <w:szCs w:val="20"/>
              </w:rPr>
              <w:t>CI Hi</w:t>
            </w:r>
          </w:p>
        </w:tc>
      </w:tr>
      <w:tr w:rsidR="007A2869" w14:paraId="2536B604" w14:textId="77777777">
        <w:tblPrEx>
          <w:tblCellMar>
            <w:top w:w="0" w:type="dxa"/>
            <w:bottom w:w="0" w:type="dxa"/>
          </w:tblCellMar>
        </w:tblPrEx>
        <w:tc>
          <w:tcPr>
            <w:tcW w:w="1900" w:type="dxa"/>
            <w:tcBorders>
              <w:top w:val="nil"/>
              <w:left w:val="nil"/>
              <w:bottom w:val="nil"/>
              <w:right w:val="nil"/>
            </w:tcBorders>
            <w:tcMar>
              <w:top w:w="60" w:type="dxa"/>
              <w:left w:w="80" w:type="dxa"/>
              <w:bottom w:w="60" w:type="dxa"/>
              <w:right w:w="80" w:type="dxa"/>
            </w:tcMar>
            <w:vAlign w:val="center"/>
          </w:tcPr>
          <w:p w14:paraId="2536B5FC" w14:textId="77777777" w:rsidR="007A2869" w:rsidRDefault="00000000">
            <w:r>
              <w:rPr>
                <w:sz w:val="20"/>
                <w:szCs w:val="20"/>
              </w:rPr>
              <w:t>Equal-Weight (1/N)</w:t>
            </w:r>
          </w:p>
        </w:tc>
        <w:tc>
          <w:tcPr>
            <w:tcW w:w="960" w:type="dxa"/>
            <w:tcBorders>
              <w:top w:val="nil"/>
              <w:left w:val="nil"/>
              <w:bottom w:val="nil"/>
              <w:right w:val="nil"/>
            </w:tcBorders>
            <w:tcMar>
              <w:top w:w="60" w:type="dxa"/>
              <w:left w:w="80" w:type="dxa"/>
              <w:bottom w:w="60" w:type="dxa"/>
              <w:right w:w="80" w:type="dxa"/>
            </w:tcMar>
            <w:vAlign w:val="center"/>
          </w:tcPr>
          <w:p w14:paraId="2536B5FD" w14:textId="77777777" w:rsidR="007A2869" w:rsidRDefault="00000000">
            <w:pPr>
              <w:jc w:val="right"/>
            </w:pPr>
            <w:r>
              <w:rPr>
                <w:sz w:val="20"/>
                <w:szCs w:val="20"/>
              </w:rPr>
              <w:t>-</w:t>
            </w:r>
          </w:p>
        </w:tc>
        <w:tc>
          <w:tcPr>
            <w:tcW w:w="900" w:type="dxa"/>
            <w:tcBorders>
              <w:top w:val="nil"/>
              <w:left w:val="nil"/>
              <w:bottom w:val="nil"/>
              <w:right w:val="nil"/>
            </w:tcBorders>
            <w:tcMar>
              <w:top w:w="60" w:type="dxa"/>
              <w:left w:w="80" w:type="dxa"/>
              <w:bottom w:w="60" w:type="dxa"/>
              <w:right w:w="80" w:type="dxa"/>
            </w:tcMar>
            <w:vAlign w:val="center"/>
          </w:tcPr>
          <w:p w14:paraId="2536B5FE" w14:textId="77777777" w:rsidR="007A2869" w:rsidRDefault="00000000">
            <w:pPr>
              <w:jc w:val="right"/>
            </w:pPr>
            <w:r>
              <w:rPr>
                <w:sz w:val="20"/>
                <w:szCs w:val="20"/>
              </w:rPr>
              <w:t>-</w:t>
            </w:r>
          </w:p>
        </w:tc>
        <w:tc>
          <w:tcPr>
            <w:tcW w:w="960" w:type="dxa"/>
            <w:tcBorders>
              <w:top w:val="nil"/>
              <w:left w:val="nil"/>
              <w:bottom w:val="nil"/>
              <w:right w:val="nil"/>
            </w:tcBorders>
            <w:tcMar>
              <w:top w:w="60" w:type="dxa"/>
              <w:left w:w="80" w:type="dxa"/>
              <w:bottom w:w="60" w:type="dxa"/>
              <w:right w:w="80" w:type="dxa"/>
            </w:tcMar>
            <w:vAlign w:val="center"/>
          </w:tcPr>
          <w:p w14:paraId="2536B5FF" w14:textId="77777777" w:rsidR="007A2869" w:rsidRDefault="00000000">
            <w:pPr>
              <w:jc w:val="right"/>
            </w:pPr>
            <w:r>
              <w:rPr>
                <w:sz w:val="20"/>
                <w:szCs w:val="20"/>
              </w:rPr>
              <w:t>-</w:t>
            </w:r>
          </w:p>
        </w:tc>
        <w:tc>
          <w:tcPr>
            <w:tcW w:w="500" w:type="dxa"/>
            <w:tcBorders>
              <w:top w:val="nil"/>
              <w:left w:val="nil"/>
              <w:bottom w:val="nil"/>
              <w:right w:val="nil"/>
            </w:tcBorders>
            <w:tcMar>
              <w:top w:w="60" w:type="dxa"/>
              <w:left w:w="80" w:type="dxa"/>
              <w:bottom w:w="60" w:type="dxa"/>
              <w:right w:w="80" w:type="dxa"/>
            </w:tcMar>
            <w:vAlign w:val="center"/>
          </w:tcPr>
          <w:p w14:paraId="2536B600" w14:textId="77777777" w:rsidR="007A2869" w:rsidRDefault="00000000">
            <w:pPr>
              <w:jc w:val="right"/>
            </w:pPr>
            <w:r>
              <w:rPr>
                <w:sz w:val="20"/>
                <w:szCs w:val="20"/>
              </w:rPr>
              <w:t>-</w:t>
            </w:r>
          </w:p>
        </w:tc>
        <w:tc>
          <w:tcPr>
            <w:tcW w:w="900" w:type="dxa"/>
            <w:tcBorders>
              <w:top w:val="nil"/>
              <w:left w:val="nil"/>
              <w:bottom w:val="nil"/>
              <w:right w:val="nil"/>
            </w:tcBorders>
            <w:tcMar>
              <w:top w:w="60" w:type="dxa"/>
              <w:left w:w="80" w:type="dxa"/>
              <w:bottom w:w="60" w:type="dxa"/>
              <w:right w:w="80" w:type="dxa"/>
            </w:tcMar>
            <w:vAlign w:val="center"/>
          </w:tcPr>
          <w:p w14:paraId="2536B601" w14:textId="77777777" w:rsidR="007A2869" w:rsidRDefault="00000000">
            <w:pPr>
              <w:jc w:val="right"/>
            </w:pPr>
            <w:r>
              <w:rPr>
                <w:sz w:val="20"/>
                <w:szCs w:val="20"/>
              </w:rPr>
              <w:t>0.409</w:t>
            </w:r>
          </w:p>
        </w:tc>
        <w:tc>
          <w:tcPr>
            <w:tcW w:w="800" w:type="dxa"/>
            <w:tcBorders>
              <w:top w:val="nil"/>
              <w:left w:val="nil"/>
              <w:bottom w:val="nil"/>
              <w:right w:val="nil"/>
            </w:tcBorders>
            <w:tcMar>
              <w:top w:w="60" w:type="dxa"/>
              <w:left w:w="80" w:type="dxa"/>
              <w:bottom w:w="60" w:type="dxa"/>
              <w:right w:w="80" w:type="dxa"/>
            </w:tcMar>
            <w:vAlign w:val="center"/>
          </w:tcPr>
          <w:p w14:paraId="2536B602" w14:textId="77777777" w:rsidR="007A2869" w:rsidRDefault="00000000">
            <w:pPr>
              <w:jc w:val="right"/>
            </w:pPr>
            <w:r>
              <w:rPr>
                <w:sz w:val="20"/>
                <w:szCs w:val="20"/>
              </w:rPr>
              <w:t>-0.054</w:t>
            </w:r>
          </w:p>
        </w:tc>
        <w:tc>
          <w:tcPr>
            <w:tcW w:w="800" w:type="dxa"/>
            <w:tcBorders>
              <w:top w:val="nil"/>
              <w:left w:val="nil"/>
              <w:bottom w:val="nil"/>
              <w:right w:val="nil"/>
            </w:tcBorders>
            <w:tcMar>
              <w:top w:w="60" w:type="dxa"/>
              <w:left w:w="80" w:type="dxa"/>
              <w:bottom w:w="60" w:type="dxa"/>
              <w:right w:w="80" w:type="dxa"/>
            </w:tcMar>
            <w:vAlign w:val="center"/>
          </w:tcPr>
          <w:p w14:paraId="2536B603" w14:textId="77777777" w:rsidR="007A2869" w:rsidRDefault="00000000">
            <w:pPr>
              <w:jc w:val="right"/>
            </w:pPr>
            <w:r>
              <w:rPr>
                <w:sz w:val="20"/>
                <w:szCs w:val="20"/>
              </w:rPr>
              <w:t>0.926</w:t>
            </w:r>
          </w:p>
        </w:tc>
      </w:tr>
      <w:tr w:rsidR="007A2869" w14:paraId="2536B60D" w14:textId="77777777">
        <w:tblPrEx>
          <w:tblCellMar>
            <w:top w:w="0" w:type="dxa"/>
            <w:bottom w:w="0" w:type="dxa"/>
          </w:tblCellMar>
        </w:tblPrEx>
        <w:tc>
          <w:tcPr>
            <w:tcW w:w="1900" w:type="dxa"/>
            <w:tcBorders>
              <w:top w:val="nil"/>
              <w:left w:val="nil"/>
              <w:bottom w:val="nil"/>
              <w:right w:val="nil"/>
            </w:tcBorders>
            <w:tcMar>
              <w:top w:w="60" w:type="dxa"/>
              <w:left w:w="80" w:type="dxa"/>
              <w:bottom w:w="60" w:type="dxa"/>
              <w:right w:w="80" w:type="dxa"/>
            </w:tcMar>
            <w:vAlign w:val="center"/>
          </w:tcPr>
          <w:p w14:paraId="2536B605" w14:textId="77777777" w:rsidR="007A2869" w:rsidRDefault="00000000">
            <w:r>
              <w:rPr>
                <w:sz w:val="20"/>
                <w:szCs w:val="20"/>
              </w:rPr>
              <w:t>STOXX Europe 600</w:t>
            </w:r>
          </w:p>
        </w:tc>
        <w:tc>
          <w:tcPr>
            <w:tcW w:w="960" w:type="dxa"/>
            <w:tcBorders>
              <w:top w:val="nil"/>
              <w:left w:val="nil"/>
              <w:bottom w:val="nil"/>
              <w:right w:val="nil"/>
            </w:tcBorders>
            <w:tcMar>
              <w:top w:w="60" w:type="dxa"/>
              <w:left w:w="80" w:type="dxa"/>
              <w:bottom w:w="60" w:type="dxa"/>
              <w:right w:w="80" w:type="dxa"/>
            </w:tcMar>
            <w:vAlign w:val="center"/>
          </w:tcPr>
          <w:p w14:paraId="2536B606" w14:textId="77777777" w:rsidR="007A2869" w:rsidRDefault="00000000">
            <w:pPr>
              <w:jc w:val="right"/>
            </w:pPr>
            <w:r>
              <w:rPr>
                <w:sz w:val="20"/>
                <w:szCs w:val="20"/>
              </w:rPr>
              <w:t>-0.13%</w:t>
            </w:r>
          </w:p>
        </w:tc>
        <w:tc>
          <w:tcPr>
            <w:tcW w:w="900" w:type="dxa"/>
            <w:tcBorders>
              <w:top w:val="nil"/>
              <w:left w:val="nil"/>
              <w:bottom w:val="nil"/>
              <w:right w:val="nil"/>
            </w:tcBorders>
            <w:tcMar>
              <w:top w:w="60" w:type="dxa"/>
              <w:left w:w="80" w:type="dxa"/>
              <w:bottom w:w="60" w:type="dxa"/>
              <w:right w:w="80" w:type="dxa"/>
            </w:tcMar>
            <w:vAlign w:val="center"/>
          </w:tcPr>
          <w:p w14:paraId="2536B607" w14:textId="77777777" w:rsidR="007A2869" w:rsidRDefault="00000000">
            <w:pPr>
              <w:jc w:val="right"/>
            </w:pPr>
            <w:r>
              <w:rPr>
                <w:sz w:val="20"/>
                <w:szCs w:val="20"/>
              </w:rPr>
              <w:t>-0.096</w:t>
            </w:r>
          </w:p>
        </w:tc>
        <w:tc>
          <w:tcPr>
            <w:tcW w:w="960" w:type="dxa"/>
            <w:tcBorders>
              <w:top w:val="nil"/>
              <w:left w:val="nil"/>
              <w:bottom w:val="nil"/>
              <w:right w:val="nil"/>
            </w:tcBorders>
            <w:tcMar>
              <w:top w:w="60" w:type="dxa"/>
              <w:left w:w="80" w:type="dxa"/>
              <w:bottom w:w="60" w:type="dxa"/>
              <w:right w:w="80" w:type="dxa"/>
            </w:tcMar>
            <w:vAlign w:val="center"/>
          </w:tcPr>
          <w:p w14:paraId="2536B608" w14:textId="77777777" w:rsidR="007A2869" w:rsidRDefault="00000000">
            <w:pPr>
              <w:jc w:val="right"/>
            </w:pPr>
            <w:r>
              <w:rPr>
                <w:sz w:val="20"/>
                <w:szCs w:val="20"/>
              </w:rPr>
              <w:t>0.538</w:t>
            </w:r>
          </w:p>
        </w:tc>
        <w:tc>
          <w:tcPr>
            <w:tcW w:w="500" w:type="dxa"/>
            <w:tcBorders>
              <w:top w:val="nil"/>
              <w:left w:val="nil"/>
              <w:bottom w:val="nil"/>
              <w:right w:val="nil"/>
            </w:tcBorders>
            <w:tcMar>
              <w:top w:w="60" w:type="dxa"/>
              <w:left w:w="80" w:type="dxa"/>
              <w:bottom w:w="60" w:type="dxa"/>
              <w:right w:w="80" w:type="dxa"/>
            </w:tcMar>
            <w:vAlign w:val="center"/>
          </w:tcPr>
          <w:p w14:paraId="2536B609" w14:textId="77777777" w:rsidR="007A2869" w:rsidRDefault="007A2869">
            <w:pPr>
              <w:jc w:val="right"/>
            </w:pPr>
          </w:p>
        </w:tc>
        <w:tc>
          <w:tcPr>
            <w:tcW w:w="900" w:type="dxa"/>
            <w:tcBorders>
              <w:top w:val="nil"/>
              <w:left w:val="nil"/>
              <w:bottom w:val="nil"/>
              <w:right w:val="nil"/>
            </w:tcBorders>
            <w:tcMar>
              <w:top w:w="60" w:type="dxa"/>
              <w:left w:w="80" w:type="dxa"/>
              <w:bottom w:w="60" w:type="dxa"/>
              <w:right w:w="80" w:type="dxa"/>
            </w:tcMar>
            <w:vAlign w:val="center"/>
          </w:tcPr>
          <w:p w14:paraId="2536B60A" w14:textId="77777777" w:rsidR="007A2869" w:rsidRDefault="00000000">
            <w:pPr>
              <w:jc w:val="right"/>
            </w:pPr>
            <w:r>
              <w:rPr>
                <w:sz w:val="20"/>
                <w:szCs w:val="20"/>
              </w:rPr>
              <w:t>0.363</w:t>
            </w:r>
          </w:p>
        </w:tc>
        <w:tc>
          <w:tcPr>
            <w:tcW w:w="800" w:type="dxa"/>
            <w:tcBorders>
              <w:top w:val="nil"/>
              <w:left w:val="nil"/>
              <w:bottom w:val="nil"/>
              <w:right w:val="nil"/>
            </w:tcBorders>
            <w:tcMar>
              <w:top w:w="60" w:type="dxa"/>
              <w:left w:w="80" w:type="dxa"/>
              <w:bottom w:w="60" w:type="dxa"/>
              <w:right w:w="80" w:type="dxa"/>
            </w:tcMar>
            <w:vAlign w:val="center"/>
          </w:tcPr>
          <w:p w14:paraId="2536B60B" w14:textId="77777777" w:rsidR="007A2869" w:rsidRDefault="00000000">
            <w:pPr>
              <w:jc w:val="right"/>
            </w:pPr>
            <w:r>
              <w:rPr>
                <w:sz w:val="20"/>
                <w:szCs w:val="20"/>
              </w:rPr>
              <w:t>-0.056</w:t>
            </w:r>
          </w:p>
        </w:tc>
        <w:tc>
          <w:tcPr>
            <w:tcW w:w="800" w:type="dxa"/>
            <w:tcBorders>
              <w:top w:val="nil"/>
              <w:left w:val="nil"/>
              <w:bottom w:val="nil"/>
              <w:right w:val="nil"/>
            </w:tcBorders>
            <w:tcMar>
              <w:top w:w="60" w:type="dxa"/>
              <w:left w:w="80" w:type="dxa"/>
              <w:bottom w:w="60" w:type="dxa"/>
              <w:right w:w="80" w:type="dxa"/>
            </w:tcMar>
            <w:vAlign w:val="center"/>
          </w:tcPr>
          <w:p w14:paraId="2536B60C" w14:textId="77777777" w:rsidR="007A2869" w:rsidRDefault="00000000">
            <w:pPr>
              <w:jc w:val="right"/>
            </w:pPr>
            <w:r>
              <w:rPr>
                <w:sz w:val="20"/>
                <w:szCs w:val="20"/>
              </w:rPr>
              <w:t>0.833</w:t>
            </w:r>
          </w:p>
        </w:tc>
      </w:tr>
      <w:tr w:rsidR="007A2869" w14:paraId="2536B616" w14:textId="77777777">
        <w:tblPrEx>
          <w:tblCellMar>
            <w:top w:w="0" w:type="dxa"/>
            <w:bottom w:w="0" w:type="dxa"/>
          </w:tblCellMar>
        </w:tblPrEx>
        <w:tc>
          <w:tcPr>
            <w:tcW w:w="1900" w:type="dxa"/>
            <w:tcBorders>
              <w:top w:val="nil"/>
              <w:left w:val="nil"/>
              <w:bottom w:val="nil"/>
              <w:right w:val="nil"/>
            </w:tcBorders>
            <w:tcMar>
              <w:top w:w="60" w:type="dxa"/>
              <w:left w:w="80" w:type="dxa"/>
              <w:bottom w:w="60" w:type="dxa"/>
              <w:right w:w="80" w:type="dxa"/>
            </w:tcMar>
            <w:vAlign w:val="center"/>
          </w:tcPr>
          <w:p w14:paraId="2536B60E" w14:textId="77777777" w:rsidR="007A2869" w:rsidRDefault="00000000">
            <w:r>
              <w:rPr>
                <w:b/>
                <w:bCs/>
                <w:sz w:val="20"/>
                <w:szCs w:val="20"/>
              </w:rPr>
              <w:t>Static CVaR</w:t>
            </w:r>
          </w:p>
        </w:tc>
        <w:tc>
          <w:tcPr>
            <w:tcW w:w="960" w:type="dxa"/>
            <w:tcBorders>
              <w:top w:val="nil"/>
              <w:left w:val="nil"/>
              <w:bottom w:val="nil"/>
              <w:right w:val="nil"/>
            </w:tcBorders>
            <w:tcMar>
              <w:top w:w="60" w:type="dxa"/>
              <w:left w:w="80" w:type="dxa"/>
              <w:bottom w:w="60" w:type="dxa"/>
              <w:right w:w="80" w:type="dxa"/>
            </w:tcMar>
            <w:vAlign w:val="center"/>
          </w:tcPr>
          <w:p w14:paraId="2536B60F" w14:textId="77777777" w:rsidR="007A2869" w:rsidRDefault="00000000">
            <w:pPr>
              <w:jc w:val="right"/>
            </w:pPr>
            <w:r>
              <w:rPr>
                <w:b/>
                <w:bCs/>
                <w:sz w:val="20"/>
                <w:szCs w:val="20"/>
              </w:rPr>
              <w:t>-0.09%</w:t>
            </w:r>
          </w:p>
        </w:tc>
        <w:tc>
          <w:tcPr>
            <w:tcW w:w="900" w:type="dxa"/>
            <w:tcBorders>
              <w:top w:val="nil"/>
              <w:left w:val="nil"/>
              <w:bottom w:val="nil"/>
              <w:right w:val="nil"/>
            </w:tcBorders>
            <w:tcMar>
              <w:top w:w="60" w:type="dxa"/>
              <w:left w:w="80" w:type="dxa"/>
              <w:bottom w:w="60" w:type="dxa"/>
              <w:right w:w="80" w:type="dxa"/>
            </w:tcMar>
            <w:vAlign w:val="center"/>
          </w:tcPr>
          <w:p w14:paraId="2536B610" w14:textId="77777777" w:rsidR="007A2869" w:rsidRDefault="00000000">
            <w:pPr>
              <w:jc w:val="right"/>
            </w:pPr>
            <w:r>
              <w:rPr>
                <w:b/>
                <w:bCs/>
                <w:sz w:val="20"/>
                <w:szCs w:val="20"/>
              </w:rPr>
              <w:t>-0.059</w:t>
            </w:r>
          </w:p>
        </w:tc>
        <w:tc>
          <w:tcPr>
            <w:tcW w:w="960" w:type="dxa"/>
            <w:tcBorders>
              <w:top w:val="nil"/>
              <w:left w:val="nil"/>
              <w:bottom w:val="nil"/>
              <w:right w:val="nil"/>
            </w:tcBorders>
            <w:tcMar>
              <w:top w:w="60" w:type="dxa"/>
              <w:left w:w="80" w:type="dxa"/>
              <w:bottom w:w="60" w:type="dxa"/>
              <w:right w:w="80" w:type="dxa"/>
            </w:tcMar>
            <w:vAlign w:val="center"/>
          </w:tcPr>
          <w:p w14:paraId="2536B611" w14:textId="77777777" w:rsidR="007A2869" w:rsidRDefault="00000000">
            <w:pPr>
              <w:jc w:val="right"/>
            </w:pPr>
            <w:r>
              <w:rPr>
                <w:b/>
                <w:bCs/>
                <w:sz w:val="20"/>
                <w:szCs w:val="20"/>
              </w:rPr>
              <w:t>0.523</w:t>
            </w:r>
          </w:p>
        </w:tc>
        <w:tc>
          <w:tcPr>
            <w:tcW w:w="500" w:type="dxa"/>
            <w:tcBorders>
              <w:top w:val="nil"/>
              <w:left w:val="nil"/>
              <w:bottom w:val="nil"/>
              <w:right w:val="nil"/>
            </w:tcBorders>
            <w:tcMar>
              <w:top w:w="60" w:type="dxa"/>
              <w:left w:w="80" w:type="dxa"/>
              <w:bottom w:w="60" w:type="dxa"/>
              <w:right w:w="80" w:type="dxa"/>
            </w:tcMar>
            <w:vAlign w:val="center"/>
          </w:tcPr>
          <w:p w14:paraId="2536B612" w14:textId="77777777" w:rsidR="007A2869" w:rsidRDefault="007A2869">
            <w:pPr>
              <w:jc w:val="right"/>
            </w:pPr>
          </w:p>
        </w:tc>
        <w:tc>
          <w:tcPr>
            <w:tcW w:w="900" w:type="dxa"/>
            <w:tcBorders>
              <w:top w:val="nil"/>
              <w:left w:val="nil"/>
              <w:bottom w:val="nil"/>
              <w:right w:val="nil"/>
            </w:tcBorders>
            <w:tcMar>
              <w:top w:w="60" w:type="dxa"/>
              <w:left w:w="80" w:type="dxa"/>
              <w:bottom w:w="60" w:type="dxa"/>
              <w:right w:w="80" w:type="dxa"/>
            </w:tcMar>
            <w:vAlign w:val="center"/>
          </w:tcPr>
          <w:p w14:paraId="2536B613" w14:textId="77777777" w:rsidR="007A2869" w:rsidRDefault="00000000">
            <w:pPr>
              <w:jc w:val="right"/>
            </w:pPr>
            <w:r>
              <w:rPr>
                <w:b/>
                <w:bCs/>
                <w:sz w:val="20"/>
                <w:szCs w:val="20"/>
              </w:rPr>
              <w:t>0.530</w:t>
            </w:r>
          </w:p>
        </w:tc>
        <w:tc>
          <w:tcPr>
            <w:tcW w:w="800" w:type="dxa"/>
            <w:tcBorders>
              <w:top w:val="nil"/>
              <w:left w:val="nil"/>
              <w:bottom w:val="nil"/>
              <w:right w:val="nil"/>
            </w:tcBorders>
            <w:tcMar>
              <w:top w:w="60" w:type="dxa"/>
              <w:left w:w="80" w:type="dxa"/>
              <w:bottom w:w="60" w:type="dxa"/>
              <w:right w:w="80" w:type="dxa"/>
            </w:tcMar>
            <w:vAlign w:val="center"/>
          </w:tcPr>
          <w:p w14:paraId="2536B614" w14:textId="77777777" w:rsidR="007A2869" w:rsidRDefault="00000000">
            <w:pPr>
              <w:jc w:val="right"/>
            </w:pPr>
            <w:r>
              <w:rPr>
                <w:b/>
                <w:bCs/>
                <w:sz w:val="20"/>
                <w:szCs w:val="20"/>
              </w:rPr>
              <w:t>+0.068</w:t>
            </w:r>
          </w:p>
        </w:tc>
        <w:tc>
          <w:tcPr>
            <w:tcW w:w="800" w:type="dxa"/>
            <w:tcBorders>
              <w:top w:val="nil"/>
              <w:left w:val="nil"/>
              <w:bottom w:val="nil"/>
              <w:right w:val="nil"/>
            </w:tcBorders>
            <w:tcMar>
              <w:top w:w="60" w:type="dxa"/>
              <w:left w:w="80" w:type="dxa"/>
              <w:bottom w:w="60" w:type="dxa"/>
              <w:right w:w="80" w:type="dxa"/>
            </w:tcMar>
            <w:vAlign w:val="center"/>
          </w:tcPr>
          <w:p w14:paraId="2536B615" w14:textId="77777777" w:rsidR="007A2869" w:rsidRDefault="00000000">
            <w:pPr>
              <w:jc w:val="right"/>
            </w:pPr>
            <w:r>
              <w:rPr>
                <w:b/>
                <w:bCs/>
                <w:sz w:val="20"/>
                <w:szCs w:val="20"/>
              </w:rPr>
              <w:t>1.058</w:t>
            </w:r>
          </w:p>
        </w:tc>
      </w:tr>
      <w:tr w:rsidR="007A2869" w14:paraId="2536B61F" w14:textId="77777777">
        <w:tblPrEx>
          <w:tblCellMar>
            <w:top w:w="0" w:type="dxa"/>
            <w:bottom w:w="0" w:type="dxa"/>
          </w:tblCellMar>
        </w:tblPrEx>
        <w:tc>
          <w:tcPr>
            <w:tcW w:w="1900" w:type="dxa"/>
            <w:tcBorders>
              <w:top w:val="nil"/>
              <w:left w:val="nil"/>
              <w:bottom w:val="nil"/>
              <w:right w:val="nil"/>
            </w:tcBorders>
            <w:tcMar>
              <w:top w:w="60" w:type="dxa"/>
              <w:left w:w="80" w:type="dxa"/>
              <w:bottom w:w="60" w:type="dxa"/>
              <w:right w:w="80" w:type="dxa"/>
            </w:tcMar>
            <w:vAlign w:val="center"/>
          </w:tcPr>
          <w:p w14:paraId="2536B617" w14:textId="77777777" w:rsidR="007A2869" w:rsidRDefault="00000000">
            <w:r>
              <w:rPr>
                <w:sz w:val="20"/>
                <w:szCs w:val="20"/>
              </w:rPr>
              <w:t>Markowitz (Min-Var)</w:t>
            </w:r>
          </w:p>
        </w:tc>
        <w:tc>
          <w:tcPr>
            <w:tcW w:w="960" w:type="dxa"/>
            <w:tcBorders>
              <w:top w:val="nil"/>
              <w:left w:val="nil"/>
              <w:bottom w:val="nil"/>
              <w:right w:val="nil"/>
            </w:tcBorders>
            <w:tcMar>
              <w:top w:w="60" w:type="dxa"/>
              <w:left w:w="80" w:type="dxa"/>
              <w:bottom w:w="60" w:type="dxa"/>
              <w:right w:w="80" w:type="dxa"/>
            </w:tcMar>
            <w:vAlign w:val="center"/>
          </w:tcPr>
          <w:p w14:paraId="2536B618" w14:textId="77777777" w:rsidR="007A2869" w:rsidRDefault="00000000">
            <w:pPr>
              <w:jc w:val="right"/>
            </w:pPr>
            <w:r>
              <w:rPr>
                <w:sz w:val="20"/>
                <w:szCs w:val="20"/>
              </w:rPr>
              <w:t>-1.05%</w:t>
            </w:r>
          </w:p>
        </w:tc>
        <w:tc>
          <w:tcPr>
            <w:tcW w:w="900" w:type="dxa"/>
            <w:tcBorders>
              <w:top w:val="nil"/>
              <w:left w:val="nil"/>
              <w:bottom w:val="nil"/>
              <w:right w:val="nil"/>
            </w:tcBorders>
            <w:tcMar>
              <w:top w:w="60" w:type="dxa"/>
              <w:left w:w="80" w:type="dxa"/>
              <w:bottom w:w="60" w:type="dxa"/>
              <w:right w:w="80" w:type="dxa"/>
            </w:tcMar>
            <w:vAlign w:val="center"/>
          </w:tcPr>
          <w:p w14:paraId="2536B619" w14:textId="77777777" w:rsidR="007A2869" w:rsidRDefault="00000000">
            <w:pPr>
              <w:jc w:val="right"/>
            </w:pPr>
            <w:r>
              <w:rPr>
                <w:sz w:val="20"/>
                <w:szCs w:val="20"/>
              </w:rPr>
              <w:t>-0.682</w:t>
            </w:r>
          </w:p>
        </w:tc>
        <w:tc>
          <w:tcPr>
            <w:tcW w:w="960" w:type="dxa"/>
            <w:tcBorders>
              <w:top w:val="nil"/>
              <w:left w:val="nil"/>
              <w:bottom w:val="nil"/>
              <w:right w:val="nil"/>
            </w:tcBorders>
            <w:tcMar>
              <w:top w:w="60" w:type="dxa"/>
              <w:left w:w="80" w:type="dxa"/>
              <w:bottom w:w="60" w:type="dxa"/>
              <w:right w:w="80" w:type="dxa"/>
            </w:tcMar>
            <w:vAlign w:val="center"/>
          </w:tcPr>
          <w:p w14:paraId="2536B61A" w14:textId="77777777" w:rsidR="007A2869" w:rsidRDefault="00000000">
            <w:pPr>
              <w:jc w:val="right"/>
            </w:pPr>
            <w:r>
              <w:rPr>
                <w:sz w:val="20"/>
                <w:szCs w:val="20"/>
              </w:rPr>
              <w:t>0.752</w:t>
            </w:r>
          </w:p>
        </w:tc>
        <w:tc>
          <w:tcPr>
            <w:tcW w:w="500" w:type="dxa"/>
            <w:tcBorders>
              <w:top w:val="nil"/>
              <w:left w:val="nil"/>
              <w:bottom w:val="nil"/>
              <w:right w:val="nil"/>
            </w:tcBorders>
            <w:tcMar>
              <w:top w:w="60" w:type="dxa"/>
              <w:left w:w="80" w:type="dxa"/>
              <w:bottom w:w="60" w:type="dxa"/>
              <w:right w:w="80" w:type="dxa"/>
            </w:tcMar>
            <w:vAlign w:val="center"/>
          </w:tcPr>
          <w:p w14:paraId="2536B61B" w14:textId="77777777" w:rsidR="007A2869" w:rsidRDefault="007A2869">
            <w:pPr>
              <w:jc w:val="right"/>
            </w:pPr>
          </w:p>
        </w:tc>
        <w:tc>
          <w:tcPr>
            <w:tcW w:w="900" w:type="dxa"/>
            <w:tcBorders>
              <w:top w:val="nil"/>
              <w:left w:val="nil"/>
              <w:bottom w:val="nil"/>
              <w:right w:val="nil"/>
            </w:tcBorders>
            <w:tcMar>
              <w:top w:w="60" w:type="dxa"/>
              <w:left w:w="80" w:type="dxa"/>
              <w:bottom w:w="60" w:type="dxa"/>
              <w:right w:w="80" w:type="dxa"/>
            </w:tcMar>
            <w:vAlign w:val="center"/>
          </w:tcPr>
          <w:p w14:paraId="2536B61C" w14:textId="77777777" w:rsidR="007A2869" w:rsidRDefault="00000000">
            <w:pPr>
              <w:jc w:val="right"/>
            </w:pPr>
            <w:r>
              <w:rPr>
                <w:sz w:val="20"/>
                <w:szCs w:val="20"/>
              </w:rPr>
              <w:t>0.447</w:t>
            </w:r>
          </w:p>
        </w:tc>
        <w:tc>
          <w:tcPr>
            <w:tcW w:w="800" w:type="dxa"/>
            <w:tcBorders>
              <w:top w:val="nil"/>
              <w:left w:val="nil"/>
              <w:bottom w:val="nil"/>
              <w:right w:val="nil"/>
            </w:tcBorders>
            <w:tcMar>
              <w:top w:w="60" w:type="dxa"/>
              <w:left w:w="80" w:type="dxa"/>
              <w:bottom w:w="60" w:type="dxa"/>
              <w:right w:w="80" w:type="dxa"/>
            </w:tcMar>
            <w:vAlign w:val="center"/>
          </w:tcPr>
          <w:p w14:paraId="2536B61D" w14:textId="77777777" w:rsidR="007A2869" w:rsidRDefault="00000000">
            <w:pPr>
              <w:jc w:val="right"/>
            </w:pPr>
            <w:r>
              <w:rPr>
                <w:sz w:val="20"/>
                <w:szCs w:val="20"/>
              </w:rPr>
              <w:t>-0.004</w:t>
            </w:r>
          </w:p>
        </w:tc>
        <w:tc>
          <w:tcPr>
            <w:tcW w:w="800" w:type="dxa"/>
            <w:tcBorders>
              <w:top w:val="nil"/>
              <w:left w:val="nil"/>
              <w:bottom w:val="nil"/>
              <w:right w:val="nil"/>
            </w:tcBorders>
            <w:tcMar>
              <w:top w:w="60" w:type="dxa"/>
              <w:left w:w="80" w:type="dxa"/>
              <w:bottom w:w="60" w:type="dxa"/>
              <w:right w:w="80" w:type="dxa"/>
            </w:tcMar>
            <w:vAlign w:val="center"/>
          </w:tcPr>
          <w:p w14:paraId="2536B61E" w14:textId="77777777" w:rsidR="007A2869" w:rsidRDefault="00000000">
            <w:pPr>
              <w:jc w:val="right"/>
            </w:pPr>
            <w:r>
              <w:rPr>
                <w:sz w:val="20"/>
                <w:szCs w:val="20"/>
              </w:rPr>
              <w:t>0.962</w:t>
            </w:r>
          </w:p>
        </w:tc>
      </w:tr>
      <w:tr w:rsidR="007A2869" w14:paraId="2536B628" w14:textId="77777777">
        <w:tblPrEx>
          <w:tblCellMar>
            <w:top w:w="0" w:type="dxa"/>
            <w:bottom w:w="0" w:type="dxa"/>
          </w:tblCellMar>
        </w:tblPrEx>
        <w:tc>
          <w:tcPr>
            <w:tcW w:w="1900" w:type="dxa"/>
            <w:tcBorders>
              <w:top w:val="nil"/>
              <w:left w:val="nil"/>
              <w:bottom w:val="nil"/>
              <w:right w:val="nil"/>
            </w:tcBorders>
            <w:tcMar>
              <w:top w:w="60" w:type="dxa"/>
              <w:left w:w="80" w:type="dxa"/>
              <w:bottom w:w="60" w:type="dxa"/>
              <w:right w:w="80" w:type="dxa"/>
            </w:tcMar>
            <w:vAlign w:val="center"/>
          </w:tcPr>
          <w:p w14:paraId="2536B620" w14:textId="77777777" w:rsidR="007A2869" w:rsidRDefault="00000000">
            <w:r>
              <w:rPr>
                <w:sz w:val="20"/>
                <w:szCs w:val="20"/>
              </w:rPr>
              <w:t>Regime CVaR-A</w:t>
            </w:r>
          </w:p>
        </w:tc>
        <w:tc>
          <w:tcPr>
            <w:tcW w:w="960" w:type="dxa"/>
            <w:tcBorders>
              <w:top w:val="nil"/>
              <w:left w:val="nil"/>
              <w:bottom w:val="nil"/>
              <w:right w:val="nil"/>
            </w:tcBorders>
            <w:tcMar>
              <w:top w:w="60" w:type="dxa"/>
              <w:left w:w="80" w:type="dxa"/>
              <w:bottom w:w="60" w:type="dxa"/>
              <w:right w:w="80" w:type="dxa"/>
            </w:tcMar>
            <w:vAlign w:val="center"/>
          </w:tcPr>
          <w:p w14:paraId="2536B621" w14:textId="77777777" w:rsidR="007A2869" w:rsidRDefault="00000000">
            <w:pPr>
              <w:jc w:val="right"/>
            </w:pPr>
            <w:r>
              <w:rPr>
                <w:sz w:val="20"/>
                <w:szCs w:val="20"/>
              </w:rPr>
              <w:t>-1.60%</w:t>
            </w:r>
          </w:p>
        </w:tc>
        <w:tc>
          <w:tcPr>
            <w:tcW w:w="900" w:type="dxa"/>
            <w:tcBorders>
              <w:top w:val="nil"/>
              <w:left w:val="nil"/>
              <w:bottom w:val="nil"/>
              <w:right w:val="nil"/>
            </w:tcBorders>
            <w:tcMar>
              <w:top w:w="60" w:type="dxa"/>
              <w:left w:w="80" w:type="dxa"/>
              <w:bottom w:w="60" w:type="dxa"/>
              <w:right w:w="80" w:type="dxa"/>
            </w:tcMar>
            <w:vAlign w:val="center"/>
          </w:tcPr>
          <w:p w14:paraId="2536B622" w14:textId="77777777" w:rsidR="007A2869" w:rsidRDefault="00000000">
            <w:pPr>
              <w:jc w:val="right"/>
            </w:pPr>
            <w:r>
              <w:rPr>
                <w:sz w:val="20"/>
                <w:szCs w:val="20"/>
              </w:rPr>
              <w:t>-1.227</w:t>
            </w:r>
          </w:p>
        </w:tc>
        <w:tc>
          <w:tcPr>
            <w:tcW w:w="960" w:type="dxa"/>
            <w:tcBorders>
              <w:top w:val="nil"/>
              <w:left w:val="nil"/>
              <w:bottom w:val="nil"/>
              <w:right w:val="nil"/>
            </w:tcBorders>
            <w:tcMar>
              <w:top w:w="60" w:type="dxa"/>
              <w:left w:w="80" w:type="dxa"/>
              <w:bottom w:w="60" w:type="dxa"/>
              <w:right w:w="80" w:type="dxa"/>
            </w:tcMar>
            <w:vAlign w:val="center"/>
          </w:tcPr>
          <w:p w14:paraId="2536B623" w14:textId="77777777" w:rsidR="007A2869" w:rsidRDefault="00000000">
            <w:pPr>
              <w:jc w:val="right"/>
            </w:pPr>
            <w:r>
              <w:rPr>
                <w:sz w:val="20"/>
                <w:szCs w:val="20"/>
              </w:rPr>
              <w:t>0.890</w:t>
            </w:r>
          </w:p>
        </w:tc>
        <w:tc>
          <w:tcPr>
            <w:tcW w:w="500" w:type="dxa"/>
            <w:tcBorders>
              <w:top w:val="nil"/>
              <w:left w:val="nil"/>
              <w:bottom w:val="nil"/>
              <w:right w:val="nil"/>
            </w:tcBorders>
            <w:tcMar>
              <w:top w:w="60" w:type="dxa"/>
              <w:left w:w="80" w:type="dxa"/>
              <w:bottom w:w="60" w:type="dxa"/>
              <w:right w:w="80" w:type="dxa"/>
            </w:tcMar>
            <w:vAlign w:val="center"/>
          </w:tcPr>
          <w:p w14:paraId="2536B624" w14:textId="77777777" w:rsidR="007A2869" w:rsidRDefault="007A2869">
            <w:pPr>
              <w:jc w:val="right"/>
            </w:pPr>
          </w:p>
        </w:tc>
        <w:tc>
          <w:tcPr>
            <w:tcW w:w="900" w:type="dxa"/>
            <w:tcBorders>
              <w:top w:val="nil"/>
              <w:left w:val="nil"/>
              <w:bottom w:val="nil"/>
              <w:right w:val="nil"/>
            </w:tcBorders>
            <w:tcMar>
              <w:top w:w="60" w:type="dxa"/>
              <w:left w:w="80" w:type="dxa"/>
              <w:bottom w:w="60" w:type="dxa"/>
              <w:right w:w="80" w:type="dxa"/>
            </w:tcMar>
            <w:vAlign w:val="center"/>
          </w:tcPr>
          <w:p w14:paraId="2536B625" w14:textId="77777777" w:rsidR="007A2869" w:rsidRDefault="00000000">
            <w:pPr>
              <w:jc w:val="right"/>
            </w:pPr>
            <w:r>
              <w:rPr>
                <w:sz w:val="20"/>
                <w:szCs w:val="20"/>
              </w:rPr>
              <w:t>0.365</w:t>
            </w:r>
          </w:p>
        </w:tc>
        <w:tc>
          <w:tcPr>
            <w:tcW w:w="800" w:type="dxa"/>
            <w:tcBorders>
              <w:top w:val="nil"/>
              <w:left w:val="nil"/>
              <w:bottom w:val="nil"/>
              <w:right w:val="nil"/>
            </w:tcBorders>
            <w:tcMar>
              <w:top w:w="60" w:type="dxa"/>
              <w:left w:w="80" w:type="dxa"/>
              <w:bottom w:w="60" w:type="dxa"/>
              <w:right w:w="80" w:type="dxa"/>
            </w:tcMar>
            <w:vAlign w:val="center"/>
          </w:tcPr>
          <w:p w14:paraId="2536B626" w14:textId="77777777" w:rsidR="007A2869" w:rsidRDefault="00000000">
            <w:pPr>
              <w:jc w:val="right"/>
            </w:pPr>
            <w:r>
              <w:rPr>
                <w:sz w:val="20"/>
                <w:szCs w:val="20"/>
              </w:rPr>
              <w:t>-0.079</w:t>
            </w:r>
          </w:p>
        </w:tc>
        <w:tc>
          <w:tcPr>
            <w:tcW w:w="800" w:type="dxa"/>
            <w:tcBorders>
              <w:top w:val="nil"/>
              <w:left w:val="nil"/>
              <w:bottom w:val="nil"/>
              <w:right w:val="nil"/>
            </w:tcBorders>
            <w:tcMar>
              <w:top w:w="60" w:type="dxa"/>
              <w:left w:w="80" w:type="dxa"/>
              <w:bottom w:w="60" w:type="dxa"/>
              <w:right w:w="80" w:type="dxa"/>
            </w:tcMar>
            <w:vAlign w:val="center"/>
          </w:tcPr>
          <w:p w14:paraId="2536B627" w14:textId="77777777" w:rsidR="007A2869" w:rsidRDefault="00000000">
            <w:pPr>
              <w:jc w:val="right"/>
            </w:pPr>
            <w:r>
              <w:rPr>
                <w:sz w:val="20"/>
                <w:szCs w:val="20"/>
              </w:rPr>
              <w:t>0.880</w:t>
            </w:r>
          </w:p>
        </w:tc>
      </w:tr>
      <w:tr w:rsidR="007A2869" w14:paraId="2536B631" w14:textId="77777777">
        <w:tblPrEx>
          <w:tblCellMar>
            <w:top w:w="0" w:type="dxa"/>
            <w:bottom w:w="0" w:type="dxa"/>
          </w:tblCellMar>
        </w:tblPrEx>
        <w:tc>
          <w:tcPr>
            <w:tcW w:w="1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29" w14:textId="77777777" w:rsidR="007A2869" w:rsidRDefault="00000000">
            <w:r>
              <w:rPr>
                <w:sz w:val="20"/>
                <w:szCs w:val="20"/>
              </w:rPr>
              <w:t>Weighted CVaR</w:t>
            </w:r>
          </w:p>
        </w:tc>
        <w:tc>
          <w:tcPr>
            <w:tcW w:w="9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2A" w14:textId="77777777" w:rsidR="007A2869" w:rsidRDefault="00000000">
            <w:pPr>
              <w:jc w:val="right"/>
            </w:pPr>
            <w:r>
              <w:rPr>
                <w:sz w:val="20"/>
                <w:szCs w:val="20"/>
              </w:rPr>
              <w:t>-1.62%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2B" w14:textId="77777777" w:rsidR="007A2869" w:rsidRDefault="00000000">
            <w:pPr>
              <w:jc w:val="right"/>
            </w:pPr>
            <w:r>
              <w:rPr>
                <w:sz w:val="20"/>
                <w:szCs w:val="20"/>
              </w:rPr>
              <w:t>-1.193</w:t>
            </w:r>
          </w:p>
        </w:tc>
        <w:tc>
          <w:tcPr>
            <w:tcW w:w="9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2C" w14:textId="77777777" w:rsidR="007A2869" w:rsidRDefault="00000000">
            <w:pPr>
              <w:jc w:val="right"/>
            </w:pPr>
            <w:r>
              <w:rPr>
                <w:sz w:val="20"/>
                <w:szCs w:val="20"/>
              </w:rPr>
              <w:t>0.883</w:t>
            </w:r>
          </w:p>
        </w:tc>
        <w:tc>
          <w:tcPr>
            <w:tcW w:w="5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2D" w14:textId="77777777" w:rsidR="007A2869" w:rsidRDefault="007A2869">
            <w:pPr>
              <w:jc w:val="right"/>
            </w:pP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2E" w14:textId="77777777" w:rsidR="007A2869" w:rsidRDefault="00000000">
            <w:pPr>
              <w:jc w:val="right"/>
            </w:pPr>
            <w:r>
              <w:rPr>
                <w:sz w:val="20"/>
                <w:szCs w:val="20"/>
              </w:rPr>
              <w:t>0.368</w:t>
            </w:r>
          </w:p>
        </w:tc>
        <w:tc>
          <w:tcPr>
            <w:tcW w:w="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2F" w14:textId="77777777" w:rsidR="007A2869" w:rsidRDefault="00000000">
            <w:pPr>
              <w:jc w:val="right"/>
            </w:pPr>
            <w:r>
              <w:rPr>
                <w:sz w:val="20"/>
                <w:szCs w:val="20"/>
              </w:rPr>
              <w:t>-0.074</w:t>
            </w:r>
          </w:p>
        </w:tc>
        <w:tc>
          <w:tcPr>
            <w:tcW w:w="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30" w14:textId="77777777" w:rsidR="007A2869" w:rsidRDefault="00000000">
            <w:pPr>
              <w:jc w:val="right"/>
            </w:pPr>
            <w:r>
              <w:rPr>
                <w:sz w:val="20"/>
                <w:szCs w:val="20"/>
              </w:rPr>
              <w:t>0.891</w:t>
            </w:r>
          </w:p>
        </w:tc>
      </w:tr>
    </w:tbl>
    <w:p w14:paraId="2536B632" w14:textId="77777777" w:rsidR="007A2869" w:rsidRDefault="007A2869">
      <w:pPr>
        <w:spacing w:line="480" w:lineRule="auto"/>
      </w:pPr>
    </w:p>
    <w:p w14:paraId="2536B633" w14:textId="77777777" w:rsidR="007A2869" w:rsidRDefault="00000000">
      <w:pPr>
        <w:keepNext/>
        <w:spacing w:before="480" w:line="300" w:lineRule="auto"/>
      </w:pPr>
      <w:r>
        <w:rPr>
          <w:b/>
          <w:bCs/>
          <w:sz w:val="22"/>
          <w:szCs w:val="22"/>
        </w:rPr>
        <w:t>FIGURE 2</w:t>
      </w:r>
    </w:p>
    <w:p w14:paraId="2536B634" w14:textId="77777777" w:rsidR="007A2869" w:rsidRDefault="00000000">
      <w:pPr>
        <w:keepNext/>
        <w:spacing w:after="60" w:line="300" w:lineRule="auto"/>
      </w:pPr>
      <w:r>
        <w:rPr>
          <w:sz w:val="22"/>
          <w:szCs w:val="22"/>
        </w:rPr>
        <w:t>Cumulative Wealth, Panel B (2010 to 2026)</w:t>
      </w:r>
    </w:p>
    <w:p w14:paraId="2536B635" w14:textId="77777777" w:rsidR="007A2869" w:rsidRDefault="00000000">
      <w:pPr>
        <w:keepNext/>
        <w:spacing w:before="60" w:after="120" w:line="276" w:lineRule="auto"/>
      </w:pPr>
      <w:r>
        <w:rPr>
          <w:sz w:val="18"/>
          <w:szCs w:val="18"/>
        </w:rPr>
        <w:t>Gross cumulative wealth of $1 invested at the start of the Panel B evaluation window (October 15, 2010), for all six strategies at 0 bps transaction costs. Shaded bands indicate European sovereign crisis (2011 to 2012), COVID-19 crash (Q1 2020), and 2022 rate-hiking shock.</w:t>
      </w:r>
    </w:p>
    <w:p w14:paraId="2536B636" w14:textId="77777777" w:rsidR="007A2869" w:rsidRDefault="00000000">
      <w:pPr>
        <w:spacing w:before="120" w:after="120"/>
        <w:jc w:val="center"/>
      </w:pPr>
      <w:r>
        <w:rPr>
          <w:noProof/>
        </w:rPr>
        <w:drawing>
          <wp:inline distT="0" distB="0" distL="0" distR="0" wp14:anchorId="2536B89A" wp14:editId="2536B89B">
            <wp:extent cx="5943600" cy="2886075"/>
            <wp:effectExtent l="0" t="0" r="0" b="0"/>
            <wp:docPr id="1325368244" name="Figure 2 Cumulative Wealth Panel B" descr="Figure 2 Cumulative Wealth Panel B" title="Figure 2 Cumulative Wealth Pan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886075"/>
                    </a:xfrm>
                    <a:prstGeom prst="rect">
                      <a:avLst/>
                    </a:prstGeom>
                  </pic:spPr>
                </pic:pic>
              </a:graphicData>
            </a:graphic>
          </wp:inline>
        </w:drawing>
      </w:r>
    </w:p>
    <w:p w14:paraId="2536B637" w14:textId="77777777" w:rsidR="007A2869" w:rsidRDefault="007A2869">
      <w:pPr>
        <w:spacing w:line="480" w:lineRule="auto"/>
      </w:pPr>
    </w:p>
    <w:p w14:paraId="2536B638" w14:textId="77777777" w:rsidR="007A2869" w:rsidRDefault="00000000">
      <w:pPr>
        <w:spacing w:before="480" w:after="240" w:line="480" w:lineRule="auto"/>
        <w:jc w:val="center"/>
      </w:pPr>
      <w:r>
        <w:lastRenderedPageBreak/>
        <w:t>V. IMPLEMENTATION-AWARE STRATEGIES</w:t>
      </w:r>
    </w:p>
    <w:p w14:paraId="2536B639" w14:textId="77777777" w:rsidR="007A2869" w:rsidRDefault="00000000">
      <w:pPr>
        <w:spacing w:before="240" w:after="120" w:line="480" w:lineRule="auto"/>
      </w:pPr>
      <w:r>
        <w:rPr>
          <w:i/>
          <w:iCs/>
        </w:rPr>
        <w:t>A. Transaction-Cost-Aware CVaR</w:t>
      </w:r>
    </w:p>
    <w:p w14:paraId="2536B63A" w14:textId="77777777" w:rsidR="007A2869" w:rsidRDefault="00000000">
      <w:pPr>
        <w:spacing w:line="480" w:lineRule="auto"/>
        <w:ind w:firstLine="720"/>
        <w:jc w:val="both"/>
      </w:pPr>
      <w:r>
        <w:t>The high turnover of regime-filtered CVaR strategies motivates embedding transaction costs directly in the optimization. We augment the CVaR LP objective with an L1 turnover penalty: the modified objective is CVaR(w) + λ · sum_i |w_i - w_{i,prev}|, implemented via standard auxiliary variables to preserve linearity. This formulation allows the optimizer to trade off between scenario-matching accuracy and rebalancing cost, producing portfolios that internalize the cost of regime transitions rather than ignoring them.</w:t>
      </w:r>
    </w:p>
    <w:p w14:paraId="2536B63B" w14:textId="77777777" w:rsidR="007A2869" w:rsidRDefault="007A2869">
      <w:pPr>
        <w:spacing w:line="480" w:lineRule="auto"/>
      </w:pPr>
    </w:p>
    <w:p w14:paraId="2536B63C" w14:textId="77777777" w:rsidR="007A2869" w:rsidRDefault="00000000">
      <w:pPr>
        <w:spacing w:line="480" w:lineRule="auto"/>
        <w:ind w:firstLine="720"/>
        <w:jc w:val="both"/>
      </w:pPr>
      <w:r>
        <w:t>Alternatively, a hard turnover budget constraint sum_i |w_i - w_{i,prev}| &lt;= τ directly bounds turnover at each rebalance period. We evaluate both specifications across parameter grids (λ in {0.001, 0.005, 0.010}; τ in {0.10, 0.20, 0.30}).</w:t>
      </w:r>
    </w:p>
    <w:p w14:paraId="2536B63D" w14:textId="77777777" w:rsidR="007A2869" w:rsidRDefault="007A2869">
      <w:pPr>
        <w:spacing w:line="480" w:lineRule="auto"/>
      </w:pPr>
    </w:p>
    <w:p w14:paraId="2536B63E" w14:textId="77777777" w:rsidR="007A2869" w:rsidRDefault="00000000">
      <w:pPr>
        <w:spacing w:line="480" w:lineRule="auto"/>
        <w:ind w:firstLine="720"/>
        <w:jc w:val="both"/>
      </w:pPr>
      <w:r>
        <w:t>Table VII reports selected results. The constrained specification at τ = 0.10 reduces Regime CVaR-A annual turnover from 225.8% to 59.9%, a reduction of 166 percentage points. Net Sharpe at 10 bps TC improves from 0.346 to 0.486, a gain attributable almost entirely to the turnover reduction. Despite these improvements, no TC-aware variant consistently surpasses Static CVaR (net Sharpe 0.551 at 10 bps in this experiment context; see Table VII note), which remains the most robust benchmark.</w:t>
      </w:r>
    </w:p>
    <w:p w14:paraId="2536B63F" w14:textId="77777777" w:rsidR="007A2869" w:rsidRDefault="007A2869">
      <w:pPr>
        <w:spacing w:line="480" w:lineRule="auto"/>
      </w:pPr>
    </w:p>
    <w:p w14:paraId="2536B640" w14:textId="77777777" w:rsidR="007A2869" w:rsidRDefault="00000000">
      <w:pPr>
        <w:spacing w:line="480" w:lineRule="auto"/>
        <w:ind w:firstLine="720"/>
        <w:jc w:val="both"/>
      </w:pPr>
      <w:r>
        <w:lastRenderedPageBreak/>
        <w:t>A penalized variant combining the ZEW feature swap with λ = 0.005 produces a net Sharpe of 0.567 at 10 bps for Weighted CVaR. This result is exploratory and not used as the confirmatory baseline: it involves a non-standard feature configuration (ZEW replacing VSTOXX) whose label agreement with the canonical HMM is only 47.9%, and whose out-of-sample properties cannot be evaluated reliably within this single evaluation window. Readers should not interpret it as evidence that regime-aware CVaR surpasses Static CVaR in general.</w:t>
      </w:r>
    </w:p>
    <w:p w14:paraId="2536B641" w14:textId="77777777" w:rsidR="007A2869" w:rsidRDefault="007A2869">
      <w:pPr>
        <w:spacing w:line="480" w:lineRule="auto"/>
      </w:pPr>
    </w:p>
    <w:p w14:paraId="2536B642" w14:textId="77777777" w:rsidR="007A2869" w:rsidRDefault="00000000">
      <w:pPr>
        <w:spacing w:before="240" w:after="120" w:line="480" w:lineRule="auto"/>
      </w:pPr>
      <w:r>
        <w:rPr>
          <w:i/>
          <w:iCs/>
        </w:rPr>
        <w:t>B. Regime-Aware Weight-Band Constraints</w:t>
      </w:r>
    </w:p>
    <w:p w14:paraId="2536B643" w14:textId="77777777" w:rsidR="007A2869" w:rsidRDefault="00000000">
      <w:pPr>
        <w:spacing w:line="480" w:lineRule="auto"/>
        <w:ind w:firstLine="720"/>
        <w:jc w:val="both"/>
      </w:pPr>
      <w:r>
        <w:t>An alternative to scenario filtering is to use the regime label to tighten or loosen weight-band constraints on asset groups, while keeping the full 260-week CVaR scenario window unchanged. We define equity (six indices) and defensive (gold, Bloomberg Commodity, Brent) asset groups, and assign regime-dependent bounds: in Stress states (State 3), the equity cap is 45% and the defensive floor is 30%; in Risk-on states (State 1), 75% and 10%; in Low-vol states (State 0), 65% and 15%; in Neutral states (State 2), 60% and 15%.</w:t>
      </w:r>
    </w:p>
    <w:p w14:paraId="2536B644" w14:textId="77777777" w:rsidR="007A2869" w:rsidRDefault="007A2869">
      <w:pPr>
        <w:spacing w:line="480" w:lineRule="auto"/>
      </w:pPr>
    </w:p>
    <w:p w14:paraId="2536B645" w14:textId="77777777" w:rsidR="007A2869" w:rsidRDefault="00000000">
      <w:pPr>
        <w:spacing w:line="480" w:lineRule="auto"/>
        <w:ind w:firstLine="720"/>
        <w:jc w:val="both"/>
      </w:pPr>
      <w:r>
        <w:t xml:space="preserve">This approach achieves near-static CVaR performance at 0.522 gross Sharpe (baseline HMM) and 0.519 (ZEW-swap HMM), with annual turnover of 29.2% and 27.0%, respectively, a substantial improvement over the 226% turnover of Regime CVaR-A. Net Sharpe at 10 bps reaches 0.519 and 0.517, within 0.032 of Static CVaR (0.551 in the regime-constraints experiment). The mechanism is also more transparent to an investment committee: it encodes a </w:t>
      </w:r>
      <w:r>
        <w:lastRenderedPageBreak/>
        <w:t>clear investment policy (reduce equity in stress, maintain defensive floor) rather than a less visible adjustment to the LP scenario set. Static CVaR is not statistically displaced by either variant.</w:t>
      </w:r>
    </w:p>
    <w:p w14:paraId="2536B646" w14:textId="77777777" w:rsidR="007A2869" w:rsidRDefault="007A2869">
      <w:pPr>
        <w:spacing w:line="480" w:lineRule="auto"/>
      </w:pPr>
    </w:p>
    <w:p w14:paraId="2536B647" w14:textId="77777777" w:rsidR="007A2869" w:rsidRDefault="00000000">
      <w:pPr>
        <w:keepNext/>
        <w:spacing w:before="480" w:line="300" w:lineRule="auto"/>
      </w:pPr>
      <w:r>
        <w:rPr>
          <w:b/>
          <w:bCs/>
          <w:sz w:val="22"/>
          <w:szCs w:val="22"/>
        </w:rPr>
        <w:t>TABLE VII</w:t>
      </w:r>
    </w:p>
    <w:p w14:paraId="2536B648" w14:textId="77777777" w:rsidR="007A2869" w:rsidRDefault="00000000">
      <w:pPr>
        <w:keepNext/>
        <w:spacing w:after="60" w:line="300" w:lineRule="auto"/>
      </w:pPr>
      <w:r>
        <w:rPr>
          <w:sz w:val="22"/>
          <w:szCs w:val="22"/>
        </w:rPr>
        <w:t>TC-Aware CVaR and Regime-Constrained CVaR: Selected Results</w:t>
      </w:r>
    </w:p>
    <w:p w14:paraId="2536B649" w14:textId="77777777" w:rsidR="007A2869" w:rsidRDefault="00000000">
      <w:pPr>
        <w:keepNext/>
        <w:spacing w:before="60" w:after="120" w:line="276" w:lineRule="auto"/>
      </w:pPr>
      <w:r>
        <w:rPr>
          <w:sz w:val="18"/>
          <w:szCs w:val="18"/>
        </w:rPr>
        <w:t>Panel A: Constrained TC-aware CVaR (turnover budget τ) and penalized TC-aware CVaR (L1 penalty λ). Panel B: Regime-constrained CVaR with group-level weight bands varying by HMM state. All results on Panel B evaluation window (2010 to 2026, 808 weeks). ZEW-swap variants replace z52_VSTOXX with z52_ZEW_Germany in the HMM feature set. Ann.TO = annualized one-way turnover. The ZEW+λ=0.005 result is exploratory and not used as the confirmatory baseline; see text. Static CVaR results in this table are from the experiment evaluation scripts (scripts 14-15), which use the full 2000-2026 rebalance grid for Static CVaR; gross Sharpe is 0.553 versus 0.530 in Table IV (which uses the label-intersected evaluation grid). All regime strategy comparisons within this table use the 0.553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994"/>
        <w:gridCol w:w="947"/>
        <w:gridCol w:w="1066"/>
        <w:gridCol w:w="3883"/>
      </w:tblGrid>
      <w:tr w:rsidR="007A2869" w14:paraId="2536B64F" w14:textId="77777777">
        <w:tblPrEx>
          <w:tblCellMar>
            <w:top w:w="0" w:type="dxa"/>
            <w:bottom w:w="0" w:type="dxa"/>
          </w:tblCellMar>
        </w:tblPrEx>
        <w:trPr>
          <w:tblHeader/>
        </w:trPr>
        <w:tc>
          <w:tcPr>
            <w:tcW w:w="25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4A" w14:textId="77777777" w:rsidR="007A2869" w:rsidRDefault="00000000">
            <w:r>
              <w:rPr>
                <w:b/>
                <w:bCs/>
                <w:sz w:val="20"/>
                <w:szCs w:val="20"/>
              </w:rPr>
              <w:t>Strategy</w:t>
            </w:r>
          </w:p>
        </w:tc>
        <w:tc>
          <w:tcPr>
            <w:tcW w:w="1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4B" w14:textId="77777777" w:rsidR="007A2869" w:rsidRDefault="00000000">
            <w:pPr>
              <w:jc w:val="right"/>
            </w:pPr>
            <w:r>
              <w:rPr>
                <w:b/>
                <w:bCs/>
                <w:sz w:val="20"/>
                <w:szCs w:val="20"/>
              </w:rPr>
              <w:t>Gross Sharpe</w:t>
            </w:r>
          </w:p>
        </w:tc>
        <w:tc>
          <w:tcPr>
            <w:tcW w:w="95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4C" w14:textId="77777777" w:rsidR="007A2869" w:rsidRDefault="00000000">
            <w:pPr>
              <w:jc w:val="right"/>
            </w:pPr>
            <w:r>
              <w:rPr>
                <w:b/>
                <w:bCs/>
                <w:sz w:val="20"/>
                <w:szCs w:val="20"/>
              </w:rPr>
              <w:t>Net @10bps</w:t>
            </w:r>
          </w:p>
        </w:tc>
        <w:tc>
          <w:tcPr>
            <w:tcW w:w="95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4D" w14:textId="77777777" w:rsidR="007A2869" w:rsidRDefault="00000000">
            <w:pPr>
              <w:jc w:val="right"/>
            </w:pPr>
            <w:r>
              <w:rPr>
                <w:b/>
                <w:bCs/>
                <w:sz w:val="20"/>
                <w:szCs w:val="20"/>
              </w:rPr>
              <w:t>Ann.TO%</w:t>
            </w:r>
          </w:p>
        </w:tc>
        <w:tc>
          <w:tcPr>
            <w:tcW w:w="31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4E" w14:textId="77777777" w:rsidR="007A2869" w:rsidRDefault="007A2869">
            <w:pPr>
              <w:jc w:val="right"/>
            </w:pPr>
          </w:p>
        </w:tc>
      </w:tr>
      <w:tr w:rsidR="007A2869" w14:paraId="2536B651" w14:textId="77777777">
        <w:tblPrEx>
          <w:tblCellMar>
            <w:top w:w="0" w:type="dxa"/>
            <w:bottom w:w="0" w:type="dxa"/>
          </w:tblCellMar>
        </w:tblPrEx>
        <w:tc>
          <w:tcPr>
            <w:tcW w:w="9360" w:type="dxa"/>
            <w:gridSpan w:val="5"/>
            <w:tcBorders>
              <w:top w:val="single" w:sz="6" w:space="0" w:color="000000"/>
              <w:left w:val="nil"/>
              <w:bottom w:val="nil"/>
              <w:right w:val="nil"/>
            </w:tcBorders>
            <w:tcMar>
              <w:top w:w="60" w:type="dxa"/>
              <w:left w:w="80" w:type="dxa"/>
              <w:bottom w:w="60" w:type="dxa"/>
              <w:right w:w="80" w:type="dxa"/>
            </w:tcMar>
            <w:vAlign w:val="center"/>
          </w:tcPr>
          <w:p w14:paraId="2536B650" w14:textId="77777777" w:rsidR="007A2869" w:rsidRDefault="00000000">
            <w:r>
              <w:rPr>
                <w:b/>
                <w:bCs/>
                <w:sz w:val="20"/>
                <w:szCs w:val="20"/>
              </w:rPr>
              <w:t>Panel A: TC-Aware CVaR</w:t>
            </w:r>
          </w:p>
        </w:tc>
      </w:tr>
      <w:tr w:rsidR="007A2869" w14:paraId="2536B657" w14:textId="77777777">
        <w:tblPrEx>
          <w:tblCellMar>
            <w:top w:w="0" w:type="dxa"/>
            <w:bottom w:w="0" w:type="dxa"/>
          </w:tblCellMar>
        </w:tblPrEx>
        <w:tc>
          <w:tcPr>
            <w:tcW w:w="2500" w:type="dxa"/>
            <w:tcBorders>
              <w:top w:val="nil"/>
              <w:left w:val="nil"/>
              <w:bottom w:val="nil"/>
              <w:right w:val="nil"/>
            </w:tcBorders>
            <w:tcMar>
              <w:top w:w="60" w:type="dxa"/>
              <w:left w:w="80" w:type="dxa"/>
              <w:bottom w:w="60" w:type="dxa"/>
              <w:right w:w="80" w:type="dxa"/>
            </w:tcMar>
            <w:vAlign w:val="center"/>
          </w:tcPr>
          <w:p w14:paraId="2536B652" w14:textId="77777777" w:rsidR="007A2869" w:rsidRDefault="00000000">
            <w:r>
              <w:rPr>
                <w:sz w:val="20"/>
                <w:szCs w:val="20"/>
              </w:rPr>
              <w:t>Static CVaR (baseline)</w:t>
            </w:r>
          </w:p>
        </w:tc>
        <w:tc>
          <w:tcPr>
            <w:tcW w:w="1000" w:type="dxa"/>
            <w:tcBorders>
              <w:top w:val="nil"/>
              <w:left w:val="nil"/>
              <w:bottom w:val="nil"/>
              <w:right w:val="nil"/>
            </w:tcBorders>
            <w:tcMar>
              <w:top w:w="60" w:type="dxa"/>
              <w:left w:w="80" w:type="dxa"/>
              <w:bottom w:w="60" w:type="dxa"/>
              <w:right w:w="80" w:type="dxa"/>
            </w:tcMar>
            <w:vAlign w:val="center"/>
          </w:tcPr>
          <w:p w14:paraId="2536B653" w14:textId="77777777" w:rsidR="007A2869" w:rsidRDefault="00000000">
            <w:pPr>
              <w:jc w:val="right"/>
            </w:pPr>
            <w:r>
              <w:rPr>
                <w:sz w:val="20"/>
                <w:szCs w:val="20"/>
              </w:rPr>
              <w:t>0.553</w:t>
            </w:r>
          </w:p>
        </w:tc>
        <w:tc>
          <w:tcPr>
            <w:tcW w:w="950" w:type="dxa"/>
            <w:tcBorders>
              <w:top w:val="nil"/>
              <w:left w:val="nil"/>
              <w:bottom w:val="nil"/>
              <w:right w:val="nil"/>
            </w:tcBorders>
            <w:tcMar>
              <w:top w:w="60" w:type="dxa"/>
              <w:left w:w="80" w:type="dxa"/>
              <w:bottom w:w="60" w:type="dxa"/>
              <w:right w:w="80" w:type="dxa"/>
            </w:tcMar>
            <w:vAlign w:val="center"/>
          </w:tcPr>
          <w:p w14:paraId="2536B654" w14:textId="77777777" w:rsidR="007A2869" w:rsidRDefault="00000000">
            <w:pPr>
              <w:jc w:val="right"/>
            </w:pPr>
            <w:r>
              <w:rPr>
                <w:sz w:val="20"/>
                <w:szCs w:val="20"/>
              </w:rPr>
              <w:t>0.551</w:t>
            </w:r>
          </w:p>
        </w:tc>
        <w:tc>
          <w:tcPr>
            <w:tcW w:w="950" w:type="dxa"/>
            <w:tcBorders>
              <w:top w:val="nil"/>
              <w:left w:val="nil"/>
              <w:bottom w:val="nil"/>
              <w:right w:val="nil"/>
            </w:tcBorders>
            <w:tcMar>
              <w:top w:w="60" w:type="dxa"/>
              <w:left w:w="80" w:type="dxa"/>
              <w:bottom w:w="60" w:type="dxa"/>
              <w:right w:w="80" w:type="dxa"/>
            </w:tcMar>
            <w:vAlign w:val="center"/>
          </w:tcPr>
          <w:p w14:paraId="2536B655" w14:textId="77777777" w:rsidR="007A2869" w:rsidRDefault="00000000">
            <w:pPr>
              <w:jc w:val="right"/>
            </w:pPr>
            <w:r>
              <w:rPr>
                <w:sz w:val="20"/>
                <w:szCs w:val="20"/>
              </w:rPr>
              <w:t>20.6%</w:t>
            </w:r>
          </w:p>
        </w:tc>
        <w:tc>
          <w:tcPr>
            <w:tcW w:w="3160" w:type="dxa"/>
            <w:tcBorders>
              <w:top w:val="nil"/>
              <w:left w:val="nil"/>
              <w:bottom w:val="nil"/>
              <w:right w:val="nil"/>
            </w:tcBorders>
            <w:tcMar>
              <w:top w:w="60" w:type="dxa"/>
              <w:left w:w="80" w:type="dxa"/>
              <w:bottom w:w="60" w:type="dxa"/>
              <w:right w:w="80" w:type="dxa"/>
            </w:tcMar>
            <w:vAlign w:val="center"/>
          </w:tcPr>
          <w:p w14:paraId="2536B656" w14:textId="77777777" w:rsidR="007A2869" w:rsidRDefault="007A2869">
            <w:pPr>
              <w:jc w:val="right"/>
            </w:pPr>
          </w:p>
        </w:tc>
      </w:tr>
      <w:tr w:rsidR="007A2869" w14:paraId="2536B65D" w14:textId="77777777">
        <w:tblPrEx>
          <w:tblCellMar>
            <w:top w:w="0" w:type="dxa"/>
            <w:bottom w:w="0" w:type="dxa"/>
          </w:tblCellMar>
        </w:tblPrEx>
        <w:tc>
          <w:tcPr>
            <w:tcW w:w="2500" w:type="dxa"/>
            <w:tcBorders>
              <w:top w:val="nil"/>
              <w:left w:val="nil"/>
              <w:bottom w:val="nil"/>
              <w:right w:val="nil"/>
            </w:tcBorders>
            <w:tcMar>
              <w:top w:w="60" w:type="dxa"/>
              <w:left w:w="80" w:type="dxa"/>
              <w:bottom w:w="60" w:type="dxa"/>
              <w:right w:w="80" w:type="dxa"/>
            </w:tcMar>
            <w:vAlign w:val="center"/>
          </w:tcPr>
          <w:p w14:paraId="2536B658" w14:textId="77777777" w:rsidR="007A2869" w:rsidRDefault="00000000">
            <w:r>
              <w:rPr>
                <w:sz w:val="20"/>
                <w:szCs w:val="20"/>
              </w:rPr>
              <w:t>Regime CVaR-A, unconstrained</w:t>
            </w:r>
          </w:p>
        </w:tc>
        <w:tc>
          <w:tcPr>
            <w:tcW w:w="1000" w:type="dxa"/>
            <w:tcBorders>
              <w:top w:val="nil"/>
              <w:left w:val="nil"/>
              <w:bottom w:val="nil"/>
              <w:right w:val="nil"/>
            </w:tcBorders>
            <w:tcMar>
              <w:top w:w="60" w:type="dxa"/>
              <w:left w:w="80" w:type="dxa"/>
              <w:bottom w:w="60" w:type="dxa"/>
              <w:right w:w="80" w:type="dxa"/>
            </w:tcMar>
            <w:vAlign w:val="center"/>
          </w:tcPr>
          <w:p w14:paraId="2536B659" w14:textId="77777777" w:rsidR="007A2869" w:rsidRDefault="00000000">
            <w:pPr>
              <w:jc w:val="right"/>
            </w:pPr>
            <w:r>
              <w:rPr>
                <w:sz w:val="20"/>
                <w:szCs w:val="20"/>
              </w:rPr>
              <w:t>0.365</w:t>
            </w:r>
          </w:p>
        </w:tc>
        <w:tc>
          <w:tcPr>
            <w:tcW w:w="950" w:type="dxa"/>
            <w:tcBorders>
              <w:top w:val="nil"/>
              <w:left w:val="nil"/>
              <w:bottom w:val="nil"/>
              <w:right w:val="nil"/>
            </w:tcBorders>
            <w:tcMar>
              <w:top w:w="60" w:type="dxa"/>
              <w:left w:w="80" w:type="dxa"/>
              <w:bottom w:w="60" w:type="dxa"/>
              <w:right w:w="80" w:type="dxa"/>
            </w:tcMar>
            <w:vAlign w:val="center"/>
          </w:tcPr>
          <w:p w14:paraId="2536B65A" w14:textId="77777777" w:rsidR="007A2869" w:rsidRDefault="00000000">
            <w:pPr>
              <w:jc w:val="right"/>
            </w:pPr>
            <w:r>
              <w:rPr>
                <w:sz w:val="20"/>
                <w:szCs w:val="20"/>
              </w:rPr>
              <w:t>0.346</w:t>
            </w:r>
          </w:p>
        </w:tc>
        <w:tc>
          <w:tcPr>
            <w:tcW w:w="950" w:type="dxa"/>
            <w:tcBorders>
              <w:top w:val="nil"/>
              <w:left w:val="nil"/>
              <w:bottom w:val="nil"/>
              <w:right w:val="nil"/>
            </w:tcBorders>
            <w:tcMar>
              <w:top w:w="60" w:type="dxa"/>
              <w:left w:w="80" w:type="dxa"/>
              <w:bottom w:w="60" w:type="dxa"/>
              <w:right w:w="80" w:type="dxa"/>
            </w:tcMar>
            <w:vAlign w:val="center"/>
          </w:tcPr>
          <w:p w14:paraId="2536B65B" w14:textId="77777777" w:rsidR="007A2869" w:rsidRDefault="00000000">
            <w:pPr>
              <w:jc w:val="right"/>
            </w:pPr>
            <w:r>
              <w:rPr>
                <w:sz w:val="20"/>
                <w:szCs w:val="20"/>
              </w:rPr>
              <w:t>225.8%</w:t>
            </w:r>
          </w:p>
        </w:tc>
        <w:tc>
          <w:tcPr>
            <w:tcW w:w="3160" w:type="dxa"/>
            <w:tcBorders>
              <w:top w:val="nil"/>
              <w:left w:val="nil"/>
              <w:bottom w:val="nil"/>
              <w:right w:val="nil"/>
            </w:tcBorders>
            <w:tcMar>
              <w:top w:w="60" w:type="dxa"/>
              <w:left w:w="80" w:type="dxa"/>
              <w:bottom w:w="60" w:type="dxa"/>
              <w:right w:w="80" w:type="dxa"/>
            </w:tcMar>
            <w:vAlign w:val="center"/>
          </w:tcPr>
          <w:p w14:paraId="2536B65C" w14:textId="77777777" w:rsidR="007A2869" w:rsidRDefault="007A2869">
            <w:pPr>
              <w:jc w:val="right"/>
            </w:pPr>
          </w:p>
        </w:tc>
      </w:tr>
      <w:tr w:rsidR="007A2869" w14:paraId="2536B663" w14:textId="77777777">
        <w:tblPrEx>
          <w:tblCellMar>
            <w:top w:w="0" w:type="dxa"/>
            <w:bottom w:w="0" w:type="dxa"/>
          </w:tblCellMar>
        </w:tblPrEx>
        <w:tc>
          <w:tcPr>
            <w:tcW w:w="2500" w:type="dxa"/>
            <w:tcBorders>
              <w:top w:val="nil"/>
              <w:left w:val="nil"/>
              <w:bottom w:val="nil"/>
              <w:right w:val="nil"/>
            </w:tcBorders>
            <w:tcMar>
              <w:top w:w="60" w:type="dxa"/>
              <w:left w:w="80" w:type="dxa"/>
              <w:bottom w:w="60" w:type="dxa"/>
              <w:right w:w="80" w:type="dxa"/>
            </w:tcMar>
            <w:vAlign w:val="center"/>
          </w:tcPr>
          <w:p w14:paraId="2536B65E" w14:textId="77777777" w:rsidR="007A2869" w:rsidRDefault="00000000">
            <w:r>
              <w:rPr>
                <w:sz w:val="20"/>
                <w:szCs w:val="20"/>
              </w:rPr>
              <w:t>Regime CVaR-A, τ=0.10</w:t>
            </w:r>
          </w:p>
        </w:tc>
        <w:tc>
          <w:tcPr>
            <w:tcW w:w="1000" w:type="dxa"/>
            <w:tcBorders>
              <w:top w:val="nil"/>
              <w:left w:val="nil"/>
              <w:bottom w:val="nil"/>
              <w:right w:val="nil"/>
            </w:tcBorders>
            <w:tcMar>
              <w:top w:w="60" w:type="dxa"/>
              <w:left w:w="80" w:type="dxa"/>
              <w:bottom w:w="60" w:type="dxa"/>
              <w:right w:w="80" w:type="dxa"/>
            </w:tcMar>
            <w:vAlign w:val="center"/>
          </w:tcPr>
          <w:p w14:paraId="2536B65F" w14:textId="77777777" w:rsidR="007A2869" w:rsidRDefault="00000000">
            <w:pPr>
              <w:jc w:val="right"/>
            </w:pPr>
            <w:r>
              <w:rPr>
                <w:sz w:val="20"/>
                <w:szCs w:val="20"/>
              </w:rPr>
              <w:t>0.491</w:t>
            </w:r>
          </w:p>
        </w:tc>
        <w:tc>
          <w:tcPr>
            <w:tcW w:w="950" w:type="dxa"/>
            <w:tcBorders>
              <w:top w:val="nil"/>
              <w:left w:val="nil"/>
              <w:bottom w:val="nil"/>
              <w:right w:val="nil"/>
            </w:tcBorders>
            <w:tcMar>
              <w:top w:w="60" w:type="dxa"/>
              <w:left w:w="80" w:type="dxa"/>
              <w:bottom w:w="60" w:type="dxa"/>
              <w:right w:w="80" w:type="dxa"/>
            </w:tcMar>
            <w:vAlign w:val="center"/>
          </w:tcPr>
          <w:p w14:paraId="2536B660" w14:textId="77777777" w:rsidR="007A2869" w:rsidRDefault="00000000">
            <w:pPr>
              <w:jc w:val="right"/>
            </w:pPr>
            <w:r>
              <w:rPr>
                <w:sz w:val="20"/>
                <w:szCs w:val="20"/>
              </w:rPr>
              <w:t>0.486</w:t>
            </w:r>
          </w:p>
        </w:tc>
        <w:tc>
          <w:tcPr>
            <w:tcW w:w="950" w:type="dxa"/>
            <w:tcBorders>
              <w:top w:val="nil"/>
              <w:left w:val="nil"/>
              <w:bottom w:val="nil"/>
              <w:right w:val="nil"/>
            </w:tcBorders>
            <w:tcMar>
              <w:top w:w="60" w:type="dxa"/>
              <w:left w:w="80" w:type="dxa"/>
              <w:bottom w:w="60" w:type="dxa"/>
              <w:right w:w="80" w:type="dxa"/>
            </w:tcMar>
            <w:vAlign w:val="center"/>
          </w:tcPr>
          <w:p w14:paraId="2536B661" w14:textId="77777777" w:rsidR="007A2869" w:rsidRDefault="00000000">
            <w:pPr>
              <w:jc w:val="right"/>
            </w:pPr>
            <w:r>
              <w:rPr>
                <w:sz w:val="20"/>
                <w:szCs w:val="20"/>
              </w:rPr>
              <w:t>59.9%</w:t>
            </w:r>
          </w:p>
        </w:tc>
        <w:tc>
          <w:tcPr>
            <w:tcW w:w="3160" w:type="dxa"/>
            <w:tcBorders>
              <w:top w:val="nil"/>
              <w:left w:val="nil"/>
              <w:bottom w:val="nil"/>
              <w:right w:val="nil"/>
            </w:tcBorders>
            <w:tcMar>
              <w:top w:w="60" w:type="dxa"/>
              <w:left w:w="80" w:type="dxa"/>
              <w:bottom w:w="60" w:type="dxa"/>
              <w:right w:w="80" w:type="dxa"/>
            </w:tcMar>
            <w:vAlign w:val="center"/>
          </w:tcPr>
          <w:p w14:paraId="2536B662" w14:textId="77777777" w:rsidR="007A2869" w:rsidRDefault="007A2869">
            <w:pPr>
              <w:jc w:val="right"/>
            </w:pPr>
          </w:p>
        </w:tc>
      </w:tr>
      <w:tr w:rsidR="007A2869" w14:paraId="2536B669" w14:textId="77777777">
        <w:tblPrEx>
          <w:tblCellMar>
            <w:top w:w="0" w:type="dxa"/>
            <w:bottom w:w="0" w:type="dxa"/>
          </w:tblCellMar>
        </w:tblPrEx>
        <w:tc>
          <w:tcPr>
            <w:tcW w:w="2500" w:type="dxa"/>
            <w:tcBorders>
              <w:top w:val="nil"/>
              <w:left w:val="nil"/>
              <w:bottom w:val="nil"/>
              <w:right w:val="nil"/>
            </w:tcBorders>
            <w:tcMar>
              <w:top w:w="60" w:type="dxa"/>
              <w:left w:w="80" w:type="dxa"/>
              <w:bottom w:w="60" w:type="dxa"/>
              <w:right w:w="80" w:type="dxa"/>
            </w:tcMar>
            <w:vAlign w:val="center"/>
          </w:tcPr>
          <w:p w14:paraId="2536B664" w14:textId="77777777" w:rsidR="007A2869" w:rsidRDefault="00000000">
            <w:r>
              <w:rPr>
                <w:sz w:val="20"/>
                <w:szCs w:val="20"/>
              </w:rPr>
              <w:t>Regime CVaR-A, τ=0.20</w:t>
            </w:r>
          </w:p>
        </w:tc>
        <w:tc>
          <w:tcPr>
            <w:tcW w:w="1000" w:type="dxa"/>
            <w:tcBorders>
              <w:top w:val="nil"/>
              <w:left w:val="nil"/>
              <w:bottom w:val="nil"/>
              <w:right w:val="nil"/>
            </w:tcBorders>
            <w:tcMar>
              <w:top w:w="60" w:type="dxa"/>
              <w:left w:w="80" w:type="dxa"/>
              <w:bottom w:w="60" w:type="dxa"/>
              <w:right w:w="80" w:type="dxa"/>
            </w:tcMar>
            <w:vAlign w:val="center"/>
          </w:tcPr>
          <w:p w14:paraId="2536B665" w14:textId="77777777" w:rsidR="007A2869" w:rsidRDefault="00000000">
            <w:pPr>
              <w:jc w:val="right"/>
            </w:pPr>
            <w:r>
              <w:rPr>
                <w:sz w:val="20"/>
                <w:szCs w:val="20"/>
              </w:rPr>
              <w:t>0.449</w:t>
            </w:r>
          </w:p>
        </w:tc>
        <w:tc>
          <w:tcPr>
            <w:tcW w:w="950" w:type="dxa"/>
            <w:tcBorders>
              <w:top w:val="nil"/>
              <w:left w:val="nil"/>
              <w:bottom w:val="nil"/>
              <w:right w:val="nil"/>
            </w:tcBorders>
            <w:tcMar>
              <w:top w:w="60" w:type="dxa"/>
              <w:left w:w="80" w:type="dxa"/>
              <w:bottom w:w="60" w:type="dxa"/>
              <w:right w:w="80" w:type="dxa"/>
            </w:tcMar>
            <w:vAlign w:val="center"/>
          </w:tcPr>
          <w:p w14:paraId="2536B666" w14:textId="77777777" w:rsidR="007A2869" w:rsidRDefault="00000000">
            <w:pPr>
              <w:jc w:val="right"/>
            </w:pPr>
            <w:r>
              <w:rPr>
                <w:sz w:val="20"/>
                <w:szCs w:val="20"/>
              </w:rPr>
              <w:t>0.440</w:t>
            </w:r>
          </w:p>
        </w:tc>
        <w:tc>
          <w:tcPr>
            <w:tcW w:w="950" w:type="dxa"/>
            <w:tcBorders>
              <w:top w:val="nil"/>
              <w:left w:val="nil"/>
              <w:bottom w:val="nil"/>
              <w:right w:val="nil"/>
            </w:tcBorders>
            <w:tcMar>
              <w:top w:w="60" w:type="dxa"/>
              <w:left w:w="80" w:type="dxa"/>
              <w:bottom w:w="60" w:type="dxa"/>
              <w:right w:w="80" w:type="dxa"/>
            </w:tcMar>
            <w:vAlign w:val="center"/>
          </w:tcPr>
          <w:p w14:paraId="2536B667" w14:textId="77777777" w:rsidR="007A2869" w:rsidRDefault="00000000">
            <w:pPr>
              <w:jc w:val="right"/>
            </w:pPr>
            <w:r>
              <w:rPr>
                <w:sz w:val="20"/>
                <w:szCs w:val="20"/>
              </w:rPr>
              <w:t>101.2%</w:t>
            </w:r>
          </w:p>
        </w:tc>
        <w:tc>
          <w:tcPr>
            <w:tcW w:w="3160" w:type="dxa"/>
            <w:tcBorders>
              <w:top w:val="nil"/>
              <w:left w:val="nil"/>
              <w:bottom w:val="nil"/>
              <w:right w:val="nil"/>
            </w:tcBorders>
            <w:tcMar>
              <w:top w:w="60" w:type="dxa"/>
              <w:left w:w="80" w:type="dxa"/>
              <w:bottom w:w="60" w:type="dxa"/>
              <w:right w:w="80" w:type="dxa"/>
            </w:tcMar>
            <w:vAlign w:val="center"/>
          </w:tcPr>
          <w:p w14:paraId="2536B668" w14:textId="77777777" w:rsidR="007A2869" w:rsidRDefault="007A2869">
            <w:pPr>
              <w:jc w:val="right"/>
            </w:pPr>
          </w:p>
        </w:tc>
      </w:tr>
      <w:tr w:rsidR="007A2869" w14:paraId="2536B66F" w14:textId="77777777">
        <w:tblPrEx>
          <w:tblCellMar>
            <w:top w:w="0" w:type="dxa"/>
            <w:bottom w:w="0" w:type="dxa"/>
          </w:tblCellMar>
        </w:tblPrEx>
        <w:tc>
          <w:tcPr>
            <w:tcW w:w="2500" w:type="dxa"/>
            <w:tcBorders>
              <w:top w:val="nil"/>
              <w:left w:val="nil"/>
              <w:bottom w:val="nil"/>
              <w:right w:val="nil"/>
            </w:tcBorders>
            <w:tcMar>
              <w:top w:w="60" w:type="dxa"/>
              <w:left w:w="80" w:type="dxa"/>
              <w:bottom w:w="60" w:type="dxa"/>
              <w:right w:w="80" w:type="dxa"/>
            </w:tcMar>
            <w:vAlign w:val="center"/>
          </w:tcPr>
          <w:p w14:paraId="2536B66A" w14:textId="77777777" w:rsidR="007A2869" w:rsidRDefault="00000000">
            <w:r>
              <w:rPr>
                <w:sz w:val="20"/>
                <w:szCs w:val="20"/>
              </w:rPr>
              <w:t>Weighted CVaR, τ=0.10</w:t>
            </w:r>
          </w:p>
        </w:tc>
        <w:tc>
          <w:tcPr>
            <w:tcW w:w="1000" w:type="dxa"/>
            <w:tcBorders>
              <w:top w:val="nil"/>
              <w:left w:val="nil"/>
              <w:bottom w:val="nil"/>
              <w:right w:val="nil"/>
            </w:tcBorders>
            <w:tcMar>
              <w:top w:w="60" w:type="dxa"/>
              <w:left w:w="80" w:type="dxa"/>
              <w:bottom w:w="60" w:type="dxa"/>
              <w:right w:w="80" w:type="dxa"/>
            </w:tcMar>
            <w:vAlign w:val="center"/>
          </w:tcPr>
          <w:p w14:paraId="2536B66B" w14:textId="77777777" w:rsidR="007A2869" w:rsidRDefault="00000000">
            <w:pPr>
              <w:jc w:val="right"/>
            </w:pPr>
            <w:r>
              <w:rPr>
                <w:sz w:val="20"/>
                <w:szCs w:val="20"/>
              </w:rPr>
              <w:t>0.492</w:t>
            </w:r>
          </w:p>
        </w:tc>
        <w:tc>
          <w:tcPr>
            <w:tcW w:w="950" w:type="dxa"/>
            <w:tcBorders>
              <w:top w:val="nil"/>
              <w:left w:val="nil"/>
              <w:bottom w:val="nil"/>
              <w:right w:val="nil"/>
            </w:tcBorders>
            <w:tcMar>
              <w:top w:w="60" w:type="dxa"/>
              <w:left w:w="80" w:type="dxa"/>
              <w:bottom w:w="60" w:type="dxa"/>
              <w:right w:w="80" w:type="dxa"/>
            </w:tcMar>
            <w:vAlign w:val="center"/>
          </w:tcPr>
          <w:p w14:paraId="2536B66C" w14:textId="77777777" w:rsidR="007A2869" w:rsidRDefault="00000000">
            <w:pPr>
              <w:jc w:val="right"/>
            </w:pPr>
            <w:r>
              <w:rPr>
                <w:sz w:val="20"/>
                <w:szCs w:val="20"/>
              </w:rPr>
              <w:t>0.486</w:t>
            </w:r>
          </w:p>
        </w:tc>
        <w:tc>
          <w:tcPr>
            <w:tcW w:w="950" w:type="dxa"/>
            <w:tcBorders>
              <w:top w:val="nil"/>
              <w:left w:val="nil"/>
              <w:bottom w:val="nil"/>
              <w:right w:val="nil"/>
            </w:tcBorders>
            <w:tcMar>
              <w:top w:w="60" w:type="dxa"/>
              <w:left w:w="80" w:type="dxa"/>
              <w:bottom w:w="60" w:type="dxa"/>
              <w:right w:w="80" w:type="dxa"/>
            </w:tcMar>
            <w:vAlign w:val="center"/>
          </w:tcPr>
          <w:p w14:paraId="2536B66D" w14:textId="77777777" w:rsidR="007A2869" w:rsidRDefault="00000000">
            <w:pPr>
              <w:jc w:val="right"/>
            </w:pPr>
            <w:r>
              <w:rPr>
                <w:sz w:val="20"/>
                <w:szCs w:val="20"/>
              </w:rPr>
              <w:t>61.5%</w:t>
            </w:r>
          </w:p>
        </w:tc>
        <w:tc>
          <w:tcPr>
            <w:tcW w:w="3160" w:type="dxa"/>
            <w:tcBorders>
              <w:top w:val="nil"/>
              <w:left w:val="nil"/>
              <w:bottom w:val="nil"/>
              <w:right w:val="nil"/>
            </w:tcBorders>
            <w:tcMar>
              <w:top w:w="60" w:type="dxa"/>
              <w:left w:w="80" w:type="dxa"/>
              <w:bottom w:w="60" w:type="dxa"/>
              <w:right w:w="80" w:type="dxa"/>
            </w:tcMar>
            <w:vAlign w:val="center"/>
          </w:tcPr>
          <w:p w14:paraId="2536B66E" w14:textId="77777777" w:rsidR="007A2869" w:rsidRDefault="007A2869">
            <w:pPr>
              <w:jc w:val="right"/>
            </w:pPr>
          </w:p>
        </w:tc>
      </w:tr>
      <w:tr w:rsidR="007A2869" w14:paraId="2536B675" w14:textId="77777777">
        <w:tblPrEx>
          <w:tblCellMar>
            <w:top w:w="0" w:type="dxa"/>
            <w:bottom w:w="0" w:type="dxa"/>
          </w:tblCellMar>
        </w:tblPrEx>
        <w:tc>
          <w:tcPr>
            <w:tcW w:w="2500" w:type="dxa"/>
            <w:tcBorders>
              <w:top w:val="nil"/>
              <w:left w:val="nil"/>
              <w:bottom w:val="nil"/>
              <w:right w:val="nil"/>
            </w:tcBorders>
            <w:tcMar>
              <w:top w:w="60" w:type="dxa"/>
              <w:left w:w="80" w:type="dxa"/>
              <w:bottom w:w="60" w:type="dxa"/>
              <w:right w:w="80" w:type="dxa"/>
            </w:tcMar>
            <w:vAlign w:val="center"/>
          </w:tcPr>
          <w:p w14:paraId="2536B670" w14:textId="77777777" w:rsidR="007A2869" w:rsidRDefault="00000000">
            <w:r>
              <w:rPr>
                <w:sz w:val="20"/>
                <w:szCs w:val="20"/>
              </w:rPr>
              <w:t>Weighted CVaR, ZEW+λ=0.005*</w:t>
            </w:r>
          </w:p>
        </w:tc>
        <w:tc>
          <w:tcPr>
            <w:tcW w:w="1000" w:type="dxa"/>
            <w:tcBorders>
              <w:top w:val="nil"/>
              <w:left w:val="nil"/>
              <w:bottom w:val="nil"/>
              <w:right w:val="nil"/>
            </w:tcBorders>
            <w:tcMar>
              <w:top w:w="60" w:type="dxa"/>
              <w:left w:w="80" w:type="dxa"/>
              <w:bottom w:w="60" w:type="dxa"/>
              <w:right w:w="80" w:type="dxa"/>
            </w:tcMar>
            <w:vAlign w:val="center"/>
          </w:tcPr>
          <w:p w14:paraId="2536B671" w14:textId="77777777" w:rsidR="007A2869" w:rsidRDefault="00000000">
            <w:pPr>
              <w:jc w:val="right"/>
            </w:pPr>
            <w:r>
              <w:rPr>
                <w:sz w:val="20"/>
                <w:szCs w:val="20"/>
              </w:rPr>
              <w:t>0.572</w:t>
            </w:r>
          </w:p>
        </w:tc>
        <w:tc>
          <w:tcPr>
            <w:tcW w:w="950" w:type="dxa"/>
            <w:tcBorders>
              <w:top w:val="nil"/>
              <w:left w:val="nil"/>
              <w:bottom w:val="nil"/>
              <w:right w:val="nil"/>
            </w:tcBorders>
            <w:tcMar>
              <w:top w:w="60" w:type="dxa"/>
              <w:left w:w="80" w:type="dxa"/>
              <w:bottom w:w="60" w:type="dxa"/>
              <w:right w:w="80" w:type="dxa"/>
            </w:tcMar>
            <w:vAlign w:val="center"/>
          </w:tcPr>
          <w:p w14:paraId="2536B672" w14:textId="77777777" w:rsidR="007A2869" w:rsidRDefault="00000000">
            <w:pPr>
              <w:jc w:val="right"/>
            </w:pPr>
            <w:r>
              <w:rPr>
                <w:sz w:val="20"/>
                <w:szCs w:val="20"/>
              </w:rPr>
              <w:t>0.567</w:t>
            </w:r>
          </w:p>
        </w:tc>
        <w:tc>
          <w:tcPr>
            <w:tcW w:w="950" w:type="dxa"/>
            <w:tcBorders>
              <w:top w:val="nil"/>
              <w:left w:val="nil"/>
              <w:bottom w:val="nil"/>
              <w:right w:val="nil"/>
            </w:tcBorders>
            <w:tcMar>
              <w:top w:w="60" w:type="dxa"/>
              <w:left w:w="80" w:type="dxa"/>
              <w:bottom w:w="60" w:type="dxa"/>
              <w:right w:w="80" w:type="dxa"/>
            </w:tcMar>
            <w:vAlign w:val="center"/>
          </w:tcPr>
          <w:p w14:paraId="2536B673" w14:textId="77777777" w:rsidR="007A2869" w:rsidRDefault="00000000">
            <w:pPr>
              <w:jc w:val="right"/>
            </w:pPr>
            <w:r>
              <w:rPr>
                <w:sz w:val="20"/>
                <w:szCs w:val="20"/>
              </w:rPr>
              <w:t>64.8%</w:t>
            </w:r>
          </w:p>
        </w:tc>
        <w:tc>
          <w:tcPr>
            <w:tcW w:w="3160" w:type="dxa"/>
            <w:tcBorders>
              <w:top w:val="nil"/>
              <w:left w:val="nil"/>
              <w:bottom w:val="nil"/>
              <w:right w:val="nil"/>
            </w:tcBorders>
            <w:tcMar>
              <w:top w:w="60" w:type="dxa"/>
              <w:left w:w="80" w:type="dxa"/>
              <w:bottom w:w="60" w:type="dxa"/>
              <w:right w:w="80" w:type="dxa"/>
            </w:tcMar>
            <w:vAlign w:val="center"/>
          </w:tcPr>
          <w:p w14:paraId="2536B674" w14:textId="77777777" w:rsidR="007A2869" w:rsidRDefault="00000000">
            <w:pPr>
              <w:jc w:val="right"/>
            </w:pPr>
            <w:r>
              <w:rPr>
                <w:sz w:val="20"/>
                <w:szCs w:val="20"/>
              </w:rPr>
              <w:t>*Exploratory</w:t>
            </w:r>
          </w:p>
        </w:tc>
      </w:tr>
      <w:tr w:rsidR="007A2869" w14:paraId="2536B677" w14:textId="77777777">
        <w:tblPrEx>
          <w:tblCellMar>
            <w:top w:w="0" w:type="dxa"/>
            <w:bottom w:w="0" w:type="dxa"/>
          </w:tblCellMar>
        </w:tblPrEx>
        <w:tc>
          <w:tcPr>
            <w:tcW w:w="9360" w:type="dxa"/>
            <w:gridSpan w:val="5"/>
            <w:tcBorders>
              <w:top w:val="single" w:sz="6" w:space="0" w:color="000000"/>
              <w:left w:val="nil"/>
              <w:bottom w:val="nil"/>
              <w:right w:val="nil"/>
            </w:tcBorders>
            <w:tcMar>
              <w:top w:w="60" w:type="dxa"/>
              <w:left w:w="80" w:type="dxa"/>
              <w:bottom w:w="60" w:type="dxa"/>
              <w:right w:w="80" w:type="dxa"/>
            </w:tcMar>
            <w:vAlign w:val="center"/>
          </w:tcPr>
          <w:p w14:paraId="2536B676" w14:textId="77777777" w:rsidR="007A2869" w:rsidRDefault="00000000">
            <w:r>
              <w:rPr>
                <w:b/>
                <w:bCs/>
                <w:sz w:val="20"/>
                <w:szCs w:val="20"/>
              </w:rPr>
              <w:t>Panel B: Regime-Constrained CVaR (Weight-Band Approach)</w:t>
            </w:r>
          </w:p>
        </w:tc>
      </w:tr>
      <w:tr w:rsidR="007A2869" w14:paraId="2536B67D" w14:textId="77777777">
        <w:tblPrEx>
          <w:tblCellMar>
            <w:top w:w="0" w:type="dxa"/>
            <w:bottom w:w="0" w:type="dxa"/>
          </w:tblCellMar>
        </w:tblPrEx>
        <w:tc>
          <w:tcPr>
            <w:tcW w:w="2500" w:type="dxa"/>
            <w:tcBorders>
              <w:top w:val="nil"/>
              <w:left w:val="nil"/>
              <w:bottom w:val="nil"/>
              <w:right w:val="nil"/>
            </w:tcBorders>
            <w:tcMar>
              <w:top w:w="60" w:type="dxa"/>
              <w:left w:w="80" w:type="dxa"/>
              <w:bottom w:w="60" w:type="dxa"/>
              <w:right w:w="80" w:type="dxa"/>
            </w:tcMar>
            <w:vAlign w:val="center"/>
          </w:tcPr>
          <w:p w14:paraId="2536B678" w14:textId="77777777" w:rsidR="007A2869" w:rsidRDefault="00000000">
            <w:r>
              <w:rPr>
                <w:sz w:val="20"/>
                <w:szCs w:val="20"/>
              </w:rPr>
              <w:t>Static CVaR</w:t>
            </w:r>
          </w:p>
        </w:tc>
        <w:tc>
          <w:tcPr>
            <w:tcW w:w="1000" w:type="dxa"/>
            <w:tcBorders>
              <w:top w:val="nil"/>
              <w:left w:val="nil"/>
              <w:bottom w:val="nil"/>
              <w:right w:val="nil"/>
            </w:tcBorders>
            <w:tcMar>
              <w:top w:w="60" w:type="dxa"/>
              <w:left w:w="80" w:type="dxa"/>
              <w:bottom w:w="60" w:type="dxa"/>
              <w:right w:w="80" w:type="dxa"/>
            </w:tcMar>
            <w:vAlign w:val="center"/>
          </w:tcPr>
          <w:p w14:paraId="2536B679" w14:textId="77777777" w:rsidR="007A2869" w:rsidRDefault="00000000">
            <w:pPr>
              <w:jc w:val="right"/>
            </w:pPr>
            <w:r>
              <w:rPr>
                <w:sz w:val="20"/>
                <w:szCs w:val="20"/>
              </w:rPr>
              <w:t>0.553</w:t>
            </w:r>
          </w:p>
        </w:tc>
        <w:tc>
          <w:tcPr>
            <w:tcW w:w="950" w:type="dxa"/>
            <w:tcBorders>
              <w:top w:val="nil"/>
              <w:left w:val="nil"/>
              <w:bottom w:val="nil"/>
              <w:right w:val="nil"/>
            </w:tcBorders>
            <w:tcMar>
              <w:top w:w="60" w:type="dxa"/>
              <w:left w:w="80" w:type="dxa"/>
              <w:bottom w:w="60" w:type="dxa"/>
              <w:right w:w="80" w:type="dxa"/>
            </w:tcMar>
            <w:vAlign w:val="center"/>
          </w:tcPr>
          <w:p w14:paraId="2536B67A" w14:textId="77777777" w:rsidR="007A2869" w:rsidRDefault="00000000">
            <w:pPr>
              <w:jc w:val="right"/>
            </w:pPr>
            <w:r>
              <w:rPr>
                <w:sz w:val="20"/>
                <w:szCs w:val="20"/>
              </w:rPr>
              <w:t>0.551</w:t>
            </w:r>
          </w:p>
        </w:tc>
        <w:tc>
          <w:tcPr>
            <w:tcW w:w="950" w:type="dxa"/>
            <w:tcBorders>
              <w:top w:val="nil"/>
              <w:left w:val="nil"/>
              <w:bottom w:val="nil"/>
              <w:right w:val="nil"/>
            </w:tcBorders>
            <w:tcMar>
              <w:top w:w="60" w:type="dxa"/>
              <w:left w:w="80" w:type="dxa"/>
              <w:bottom w:w="60" w:type="dxa"/>
              <w:right w:w="80" w:type="dxa"/>
            </w:tcMar>
            <w:vAlign w:val="center"/>
          </w:tcPr>
          <w:p w14:paraId="2536B67B" w14:textId="77777777" w:rsidR="007A2869" w:rsidRDefault="00000000">
            <w:pPr>
              <w:jc w:val="right"/>
            </w:pPr>
            <w:r>
              <w:rPr>
                <w:sz w:val="20"/>
                <w:szCs w:val="20"/>
              </w:rPr>
              <w:t>20.6%</w:t>
            </w:r>
          </w:p>
        </w:tc>
        <w:tc>
          <w:tcPr>
            <w:tcW w:w="3160" w:type="dxa"/>
            <w:tcBorders>
              <w:top w:val="nil"/>
              <w:left w:val="nil"/>
              <w:bottom w:val="nil"/>
              <w:right w:val="nil"/>
            </w:tcBorders>
            <w:tcMar>
              <w:top w:w="60" w:type="dxa"/>
              <w:left w:w="80" w:type="dxa"/>
              <w:bottom w:w="60" w:type="dxa"/>
              <w:right w:w="80" w:type="dxa"/>
            </w:tcMar>
            <w:vAlign w:val="center"/>
          </w:tcPr>
          <w:p w14:paraId="2536B67C" w14:textId="77777777" w:rsidR="007A2869" w:rsidRDefault="007A2869">
            <w:pPr>
              <w:jc w:val="right"/>
            </w:pPr>
          </w:p>
        </w:tc>
      </w:tr>
      <w:tr w:rsidR="007A2869" w14:paraId="2536B683" w14:textId="77777777">
        <w:tblPrEx>
          <w:tblCellMar>
            <w:top w:w="0" w:type="dxa"/>
            <w:bottom w:w="0" w:type="dxa"/>
          </w:tblCellMar>
        </w:tblPrEx>
        <w:tc>
          <w:tcPr>
            <w:tcW w:w="2500" w:type="dxa"/>
            <w:tcBorders>
              <w:top w:val="nil"/>
              <w:left w:val="nil"/>
              <w:bottom w:val="nil"/>
              <w:right w:val="nil"/>
            </w:tcBorders>
            <w:tcMar>
              <w:top w:w="60" w:type="dxa"/>
              <w:left w:w="80" w:type="dxa"/>
              <w:bottom w:w="60" w:type="dxa"/>
              <w:right w:w="80" w:type="dxa"/>
            </w:tcMar>
            <w:vAlign w:val="center"/>
          </w:tcPr>
          <w:p w14:paraId="2536B67E" w14:textId="77777777" w:rsidR="007A2869" w:rsidRDefault="00000000">
            <w:r>
              <w:rPr>
                <w:sz w:val="20"/>
                <w:szCs w:val="20"/>
              </w:rPr>
              <w:t>Regime-Constrained CVaR (baseline HMM)</w:t>
            </w:r>
          </w:p>
        </w:tc>
        <w:tc>
          <w:tcPr>
            <w:tcW w:w="1000" w:type="dxa"/>
            <w:tcBorders>
              <w:top w:val="nil"/>
              <w:left w:val="nil"/>
              <w:bottom w:val="nil"/>
              <w:right w:val="nil"/>
            </w:tcBorders>
            <w:tcMar>
              <w:top w:w="60" w:type="dxa"/>
              <w:left w:w="80" w:type="dxa"/>
              <w:bottom w:w="60" w:type="dxa"/>
              <w:right w:w="80" w:type="dxa"/>
            </w:tcMar>
            <w:vAlign w:val="center"/>
          </w:tcPr>
          <w:p w14:paraId="2536B67F" w14:textId="77777777" w:rsidR="007A2869" w:rsidRDefault="00000000">
            <w:pPr>
              <w:jc w:val="right"/>
            </w:pPr>
            <w:r>
              <w:rPr>
                <w:sz w:val="20"/>
                <w:szCs w:val="20"/>
              </w:rPr>
              <w:t>0.522</w:t>
            </w:r>
          </w:p>
        </w:tc>
        <w:tc>
          <w:tcPr>
            <w:tcW w:w="950" w:type="dxa"/>
            <w:tcBorders>
              <w:top w:val="nil"/>
              <w:left w:val="nil"/>
              <w:bottom w:val="nil"/>
              <w:right w:val="nil"/>
            </w:tcBorders>
            <w:tcMar>
              <w:top w:w="60" w:type="dxa"/>
              <w:left w:w="80" w:type="dxa"/>
              <w:bottom w:w="60" w:type="dxa"/>
              <w:right w:w="80" w:type="dxa"/>
            </w:tcMar>
            <w:vAlign w:val="center"/>
          </w:tcPr>
          <w:p w14:paraId="2536B680" w14:textId="77777777" w:rsidR="007A2869" w:rsidRDefault="00000000">
            <w:pPr>
              <w:jc w:val="right"/>
            </w:pPr>
            <w:r>
              <w:rPr>
                <w:sz w:val="20"/>
                <w:szCs w:val="20"/>
              </w:rPr>
              <w:t>0.519</w:t>
            </w:r>
          </w:p>
        </w:tc>
        <w:tc>
          <w:tcPr>
            <w:tcW w:w="950" w:type="dxa"/>
            <w:tcBorders>
              <w:top w:val="nil"/>
              <w:left w:val="nil"/>
              <w:bottom w:val="nil"/>
              <w:right w:val="nil"/>
            </w:tcBorders>
            <w:tcMar>
              <w:top w:w="60" w:type="dxa"/>
              <w:left w:w="80" w:type="dxa"/>
              <w:bottom w:w="60" w:type="dxa"/>
              <w:right w:w="80" w:type="dxa"/>
            </w:tcMar>
            <w:vAlign w:val="center"/>
          </w:tcPr>
          <w:p w14:paraId="2536B681" w14:textId="77777777" w:rsidR="007A2869" w:rsidRDefault="00000000">
            <w:pPr>
              <w:jc w:val="right"/>
            </w:pPr>
            <w:r>
              <w:rPr>
                <w:sz w:val="20"/>
                <w:szCs w:val="20"/>
              </w:rPr>
              <w:t>29.2%</w:t>
            </w:r>
          </w:p>
        </w:tc>
        <w:tc>
          <w:tcPr>
            <w:tcW w:w="3160" w:type="dxa"/>
            <w:tcBorders>
              <w:top w:val="nil"/>
              <w:left w:val="nil"/>
              <w:bottom w:val="nil"/>
              <w:right w:val="nil"/>
            </w:tcBorders>
            <w:tcMar>
              <w:top w:w="60" w:type="dxa"/>
              <w:left w:w="80" w:type="dxa"/>
              <w:bottom w:w="60" w:type="dxa"/>
              <w:right w:w="80" w:type="dxa"/>
            </w:tcMar>
            <w:vAlign w:val="center"/>
          </w:tcPr>
          <w:p w14:paraId="2536B682" w14:textId="77777777" w:rsidR="007A2869" w:rsidRDefault="007A2869">
            <w:pPr>
              <w:jc w:val="right"/>
            </w:pPr>
          </w:p>
        </w:tc>
      </w:tr>
      <w:tr w:rsidR="007A2869" w14:paraId="2536B689" w14:textId="77777777">
        <w:tblPrEx>
          <w:tblCellMar>
            <w:top w:w="0" w:type="dxa"/>
            <w:bottom w:w="0" w:type="dxa"/>
          </w:tblCellMar>
        </w:tblPrEx>
        <w:tc>
          <w:tcPr>
            <w:tcW w:w="2500" w:type="dxa"/>
            <w:tcBorders>
              <w:top w:val="nil"/>
              <w:left w:val="nil"/>
              <w:bottom w:val="nil"/>
              <w:right w:val="nil"/>
            </w:tcBorders>
            <w:tcMar>
              <w:top w:w="60" w:type="dxa"/>
              <w:left w:w="80" w:type="dxa"/>
              <w:bottom w:w="60" w:type="dxa"/>
              <w:right w:w="80" w:type="dxa"/>
            </w:tcMar>
            <w:vAlign w:val="center"/>
          </w:tcPr>
          <w:p w14:paraId="2536B684" w14:textId="77777777" w:rsidR="007A2869" w:rsidRDefault="00000000">
            <w:r>
              <w:rPr>
                <w:sz w:val="20"/>
                <w:szCs w:val="20"/>
              </w:rPr>
              <w:t>Regime-Constrained CVaR (ZEW-swap HMM)</w:t>
            </w:r>
          </w:p>
        </w:tc>
        <w:tc>
          <w:tcPr>
            <w:tcW w:w="1000" w:type="dxa"/>
            <w:tcBorders>
              <w:top w:val="nil"/>
              <w:left w:val="nil"/>
              <w:bottom w:val="nil"/>
              <w:right w:val="nil"/>
            </w:tcBorders>
            <w:tcMar>
              <w:top w:w="60" w:type="dxa"/>
              <w:left w:w="80" w:type="dxa"/>
              <w:bottom w:w="60" w:type="dxa"/>
              <w:right w:w="80" w:type="dxa"/>
            </w:tcMar>
            <w:vAlign w:val="center"/>
          </w:tcPr>
          <w:p w14:paraId="2536B685" w14:textId="77777777" w:rsidR="007A2869" w:rsidRDefault="00000000">
            <w:pPr>
              <w:jc w:val="right"/>
            </w:pPr>
            <w:r>
              <w:rPr>
                <w:sz w:val="20"/>
                <w:szCs w:val="20"/>
              </w:rPr>
              <w:t>0.519</w:t>
            </w:r>
          </w:p>
        </w:tc>
        <w:tc>
          <w:tcPr>
            <w:tcW w:w="950" w:type="dxa"/>
            <w:tcBorders>
              <w:top w:val="nil"/>
              <w:left w:val="nil"/>
              <w:bottom w:val="nil"/>
              <w:right w:val="nil"/>
            </w:tcBorders>
            <w:tcMar>
              <w:top w:w="60" w:type="dxa"/>
              <w:left w:w="80" w:type="dxa"/>
              <w:bottom w:w="60" w:type="dxa"/>
              <w:right w:w="80" w:type="dxa"/>
            </w:tcMar>
            <w:vAlign w:val="center"/>
          </w:tcPr>
          <w:p w14:paraId="2536B686" w14:textId="77777777" w:rsidR="007A2869" w:rsidRDefault="00000000">
            <w:pPr>
              <w:jc w:val="right"/>
            </w:pPr>
            <w:r>
              <w:rPr>
                <w:sz w:val="20"/>
                <w:szCs w:val="20"/>
              </w:rPr>
              <w:t>0.517</w:t>
            </w:r>
          </w:p>
        </w:tc>
        <w:tc>
          <w:tcPr>
            <w:tcW w:w="950" w:type="dxa"/>
            <w:tcBorders>
              <w:top w:val="nil"/>
              <w:left w:val="nil"/>
              <w:bottom w:val="nil"/>
              <w:right w:val="nil"/>
            </w:tcBorders>
            <w:tcMar>
              <w:top w:w="60" w:type="dxa"/>
              <w:left w:w="80" w:type="dxa"/>
              <w:bottom w:w="60" w:type="dxa"/>
              <w:right w:w="80" w:type="dxa"/>
            </w:tcMar>
            <w:vAlign w:val="center"/>
          </w:tcPr>
          <w:p w14:paraId="2536B687" w14:textId="77777777" w:rsidR="007A2869" w:rsidRDefault="00000000">
            <w:pPr>
              <w:jc w:val="right"/>
            </w:pPr>
            <w:r>
              <w:rPr>
                <w:sz w:val="20"/>
                <w:szCs w:val="20"/>
              </w:rPr>
              <w:t>27.0%</w:t>
            </w:r>
          </w:p>
        </w:tc>
        <w:tc>
          <w:tcPr>
            <w:tcW w:w="3160" w:type="dxa"/>
            <w:tcBorders>
              <w:top w:val="nil"/>
              <w:left w:val="nil"/>
              <w:bottom w:val="nil"/>
              <w:right w:val="nil"/>
            </w:tcBorders>
            <w:tcMar>
              <w:top w:w="60" w:type="dxa"/>
              <w:left w:w="80" w:type="dxa"/>
              <w:bottom w:w="60" w:type="dxa"/>
              <w:right w:w="80" w:type="dxa"/>
            </w:tcMar>
            <w:vAlign w:val="center"/>
          </w:tcPr>
          <w:p w14:paraId="2536B688" w14:textId="77777777" w:rsidR="007A2869" w:rsidRDefault="007A2869">
            <w:pPr>
              <w:jc w:val="right"/>
            </w:pPr>
          </w:p>
        </w:tc>
      </w:tr>
      <w:tr w:rsidR="007A2869" w14:paraId="2536B68F" w14:textId="77777777">
        <w:tblPrEx>
          <w:tblCellMar>
            <w:top w:w="0" w:type="dxa"/>
            <w:bottom w:w="0" w:type="dxa"/>
          </w:tblCellMar>
        </w:tblPrEx>
        <w:tc>
          <w:tcPr>
            <w:tcW w:w="25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8A" w14:textId="77777777" w:rsidR="007A2869" w:rsidRDefault="00000000">
            <w:r>
              <w:rPr>
                <w:sz w:val="20"/>
                <w:szCs w:val="20"/>
              </w:rPr>
              <w:t>Regime CVaR-A (baseline, for reference)</w:t>
            </w:r>
          </w:p>
        </w:tc>
        <w:tc>
          <w:tcPr>
            <w:tcW w:w="1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8B" w14:textId="77777777" w:rsidR="007A2869" w:rsidRDefault="00000000">
            <w:pPr>
              <w:jc w:val="right"/>
            </w:pPr>
            <w:r>
              <w:rPr>
                <w:sz w:val="20"/>
                <w:szCs w:val="20"/>
              </w:rPr>
              <w:t>0.365</w:t>
            </w:r>
          </w:p>
        </w:tc>
        <w:tc>
          <w:tcPr>
            <w:tcW w:w="95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8C" w14:textId="77777777" w:rsidR="007A2869" w:rsidRDefault="00000000">
            <w:pPr>
              <w:jc w:val="right"/>
            </w:pPr>
            <w:r>
              <w:rPr>
                <w:sz w:val="20"/>
                <w:szCs w:val="20"/>
              </w:rPr>
              <w:t>0.346</w:t>
            </w:r>
          </w:p>
        </w:tc>
        <w:tc>
          <w:tcPr>
            <w:tcW w:w="95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8D" w14:textId="77777777" w:rsidR="007A2869" w:rsidRDefault="00000000">
            <w:pPr>
              <w:jc w:val="right"/>
            </w:pPr>
            <w:r>
              <w:rPr>
                <w:sz w:val="20"/>
                <w:szCs w:val="20"/>
              </w:rPr>
              <w:t>225.8%</w:t>
            </w:r>
          </w:p>
        </w:tc>
        <w:tc>
          <w:tcPr>
            <w:tcW w:w="31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8E" w14:textId="77777777" w:rsidR="007A2869" w:rsidRDefault="007A2869">
            <w:pPr>
              <w:jc w:val="right"/>
            </w:pPr>
          </w:p>
        </w:tc>
      </w:tr>
    </w:tbl>
    <w:p w14:paraId="2536B690" w14:textId="77777777" w:rsidR="007A2869" w:rsidRDefault="007A2869">
      <w:pPr>
        <w:spacing w:line="480" w:lineRule="auto"/>
      </w:pPr>
    </w:p>
    <w:p w14:paraId="2536B691" w14:textId="77777777" w:rsidR="007A2869" w:rsidRDefault="00000000">
      <w:pPr>
        <w:keepNext/>
        <w:spacing w:before="480" w:line="300" w:lineRule="auto"/>
      </w:pPr>
      <w:r>
        <w:rPr>
          <w:b/>
          <w:bCs/>
          <w:sz w:val="22"/>
          <w:szCs w:val="22"/>
        </w:rPr>
        <w:lastRenderedPageBreak/>
        <w:t>FIGURE 3</w:t>
      </w:r>
    </w:p>
    <w:p w14:paraId="2536B692" w14:textId="77777777" w:rsidR="007A2869" w:rsidRDefault="00000000">
      <w:pPr>
        <w:keepNext/>
        <w:spacing w:after="60" w:line="300" w:lineRule="auto"/>
      </w:pPr>
      <w:r>
        <w:rPr>
          <w:sz w:val="22"/>
          <w:szCs w:val="22"/>
        </w:rPr>
        <w:t>Turnover vs. Net Sharpe Frontier (Panel B, 10 bps TC)</w:t>
      </w:r>
    </w:p>
    <w:p w14:paraId="2536B693" w14:textId="77777777" w:rsidR="007A2869" w:rsidRDefault="00000000">
      <w:pPr>
        <w:keepNext/>
        <w:spacing w:before="60" w:after="120" w:line="276" w:lineRule="auto"/>
      </w:pPr>
      <w:r>
        <w:rPr>
          <w:sz w:val="18"/>
          <w:szCs w:val="18"/>
        </w:rPr>
        <w:t>Scatter plot of annualized portfolio turnover (x-axis) vs. net Sharpe at 10 bps TC (y-axis) for all strategies and implementation-aware variants. Each point corresponds to one strategy specification. The plot illustrates the cost-efficiency achievable through implementation-aware regime conditioning; Static CVaR marks the frontier anchor at low turnover. The ZEW+λ=0.005 (exploratory) point is labeled separately.</w:t>
      </w:r>
    </w:p>
    <w:p w14:paraId="2536B694" w14:textId="77777777" w:rsidR="007A2869" w:rsidRDefault="00000000">
      <w:pPr>
        <w:spacing w:before="120" w:after="120"/>
        <w:jc w:val="center"/>
      </w:pPr>
      <w:r>
        <w:rPr>
          <w:noProof/>
        </w:rPr>
        <w:drawing>
          <wp:inline distT="0" distB="0" distL="0" distR="0" wp14:anchorId="2536B89C" wp14:editId="2536B89D">
            <wp:extent cx="5943600" cy="3543300"/>
            <wp:effectExtent l="0" t="0" r="0" b="0"/>
            <wp:docPr id="890351912" name="Figure 3 Turnover vs Net Sharpe Frontier" descr="Figure 3 Turnover vs Net Sharpe Frontier" title="Figure 3 Turnover vs Net Sharpe Fro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543300"/>
                    </a:xfrm>
                    <a:prstGeom prst="rect">
                      <a:avLst/>
                    </a:prstGeom>
                  </pic:spPr>
                </pic:pic>
              </a:graphicData>
            </a:graphic>
          </wp:inline>
        </w:drawing>
      </w:r>
    </w:p>
    <w:p w14:paraId="2536B695" w14:textId="77777777" w:rsidR="007A2869" w:rsidRDefault="007A2869">
      <w:pPr>
        <w:spacing w:line="480" w:lineRule="auto"/>
      </w:pPr>
    </w:p>
    <w:p w14:paraId="2536B696" w14:textId="77777777" w:rsidR="007A2869" w:rsidRDefault="00000000">
      <w:pPr>
        <w:spacing w:before="480" w:after="240" w:line="480" w:lineRule="auto"/>
        <w:jc w:val="center"/>
      </w:pPr>
      <w:r>
        <w:t>VI. SOVEREIGN FIXED-INCOME EXPANSION</w:t>
      </w:r>
    </w:p>
    <w:p w14:paraId="2536B697" w14:textId="77777777" w:rsidR="007A2869" w:rsidRDefault="00000000">
      <w:pPr>
        <w:spacing w:line="480" w:lineRule="auto"/>
        <w:ind w:firstLine="720"/>
        <w:jc w:val="both"/>
      </w:pPr>
      <w:r>
        <w:t xml:space="preserve">The baseline universe excludes sovereign bonds, reflecting data availability constraints and the desire to construct a clean test of equity-commodity-real-estate diversification. In an FI-expanded robustness check, we add three government bond total-return indices, namely FTSE Russell Germany (EUR), Spain (EUR), and Italy (EUR, delivered via LSEG currency conversion </w:t>
      </w:r>
      <w:r>
        <w:lastRenderedPageBreak/>
        <w:t>from the USD-priced master series; no native EUR RIC exists in the LSEG catalog), creating a 14-asset investable universe. Table VIII summarizes the FI-expanded results.</w:t>
      </w:r>
    </w:p>
    <w:p w14:paraId="2536B698" w14:textId="77777777" w:rsidR="007A2869" w:rsidRDefault="007A2869">
      <w:pPr>
        <w:spacing w:line="480" w:lineRule="auto"/>
      </w:pPr>
    </w:p>
    <w:p w14:paraId="2536B699" w14:textId="77777777" w:rsidR="007A2869" w:rsidRDefault="00000000">
      <w:pPr>
        <w:spacing w:before="240" w:after="120" w:line="480" w:lineRule="auto"/>
      </w:pPr>
      <w:r>
        <w:rPr>
          <w:i/>
          <w:iCs/>
        </w:rPr>
        <w:t>A. Allocation Substitution</w:t>
      </w:r>
    </w:p>
    <w:p w14:paraId="2536B69A" w14:textId="77777777" w:rsidR="007A2869" w:rsidRDefault="00000000">
      <w:pPr>
        <w:spacing w:line="480" w:lineRule="auto"/>
        <w:ind w:firstLine="720"/>
        <w:jc w:val="both"/>
      </w:pPr>
      <w:r>
        <w:t>A notable result is the magnitude of allocation substitution. In the baseline universe, the CVaR LP allocates approximately 25% to gold and 25% to Bloomberg Commodity, both at the maximum weight constraint, because these are the lowest-CVaR assets available. With government bonds added, the optimizer reallocates approximately 73% of the portfolio to sovereign bonds, reducing gold to 10% and commodities to 13.5%. Equity weight falls from 39% to 3%. This reflects the fundamental optimization logic: government bonds have substantially lower weekly CVaR and volatility than commodities and exhibit negative correlation with equities in most market states. The baseline's heavy commodity allocation is a consequence of the constrained opportunity set, not a general recommendation to overweight commodities.</w:t>
      </w:r>
    </w:p>
    <w:p w14:paraId="2536B69B" w14:textId="77777777" w:rsidR="007A2869" w:rsidRDefault="007A2869">
      <w:pPr>
        <w:spacing w:line="480" w:lineRule="auto"/>
      </w:pPr>
    </w:p>
    <w:p w14:paraId="2536B69C" w14:textId="77777777" w:rsidR="007A2869" w:rsidRDefault="00000000">
      <w:pPr>
        <w:spacing w:before="240" w:after="120" w:line="480" w:lineRule="auto"/>
      </w:pPr>
      <w:r>
        <w:rPr>
          <w:i/>
          <w:iCs/>
        </w:rPr>
        <w:t>B. Performance Effects</w:t>
      </w:r>
    </w:p>
    <w:p w14:paraId="2536B69D" w14:textId="77777777" w:rsidR="007A2869" w:rsidRDefault="00000000">
      <w:pPr>
        <w:spacing w:line="480" w:lineRule="auto"/>
        <w:ind w:firstLine="720"/>
        <w:jc w:val="both"/>
      </w:pPr>
      <w:r>
        <w:t>Panel A (2003 to 2026) results improve when bonds are included. Static CVaR Sharpe rises from 0.513 to 0.547 (+0.034), driven entirely by volatility and drawdown reduction: annualized vol falls from 12.2% to 5.0%, and maximum drawdown improves from -39.5% to -14.8%. CAGR declines (7.05% to 4.00%) because the bond-heavy portfolio has lower absolute return, which is the correct risk-return trade-off for a tail-risk-minimizing strategy.</w:t>
      </w:r>
    </w:p>
    <w:p w14:paraId="2536B69E" w14:textId="77777777" w:rsidR="007A2869" w:rsidRDefault="007A2869">
      <w:pPr>
        <w:spacing w:line="480" w:lineRule="auto"/>
      </w:pPr>
    </w:p>
    <w:p w14:paraId="2536B69F" w14:textId="77777777" w:rsidR="007A2869" w:rsidRDefault="00000000">
      <w:pPr>
        <w:spacing w:line="480" w:lineRule="auto"/>
        <w:ind w:firstLine="720"/>
        <w:jc w:val="both"/>
      </w:pPr>
      <w:r>
        <w:t>Panel B (2010 to 2026) tells a more nuanced story. Static CVaR Sharpe declines slightly from 0.530 to 0.504 (-0.026), while maximum drawdown still improves substantially (-25.3% to -14.6%). The Sharpe decline is mechanically explained by the 2022 rate-hiking episode, in which all three sovereign bond indices lost approximately 15% as the ECB raised rates by 250 basis points. The FI-expanded portfolio held approximately 75% in bonds entering 2022, producing a portfolio loss of approximately -10% compared to near-zero for the baseline. This occurs because the baseline holds commodities and gold, which rose sharply on energy inflation, as the primary tail-risk dampeners. This result matters because it shows that the FI-expanded universe changes the defensive allocation channel rather than simply improving all outcomes: it reduces long-run drawdown but introduces material duration risk that materializes in rate-hiking cycles. The main conclusion is unchanged.</w:t>
      </w:r>
    </w:p>
    <w:p w14:paraId="2536B6A0" w14:textId="77777777" w:rsidR="007A2869" w:rsidRDefault="007A2869">
      <w:pPr>
        <w:spacing w:line="480" w:lineRule="auto"/>
      </w:pPr>
    </w:p>
    <w:p w14:paraId="2536B6A1" w14:textId="77777777" w:rsidR="007A2869" w:rsidRDefault="00000000">
      <w:pPr>
        <w:spacing w:line="480" w:lineRule="auto"/>
        <w:ind w:firstLine="720"/>
        <w:jc w:val="both"/>
      </w:pPr>
      <w:r>
        <w:t>Regime CVaR-A shows the largest FI-expansion improvement: gross Sharpe rises from 0.365 to 0.430 (+0.065), and annual turnover falls from 225.8% to 134.1%. The bond core provides a more stable allocation anchor across regime transitions. Nonetheless, even in the FI-expanded universe, Regime CVaR-A does not surpass Static CVaR as the most robust benchmark.</w:t>
      </w:r>
    </w:p>
    <w:p w14:paraId="2536B6A2" w14:textId="77777777" w:rsidR="007A2869" w:rsidRDefault="007A2869">
      <w:pPr>
        <w:spacing w:line="480" w:lineRule="auto"/>
      </w:pPr>
    </w:p>
    <w:p w14:paraId="2536B6A3" w14:textId="77777777" w:rsidR="007A2869" w:rsidRDefault="00000000">
      <w:pPr>
        <w:keepNext/>
        <w:spacing w:before="480" w:line="300" w:lineRule="auto"/>
      </w:pPr>
      <w:r>
        <w:rPr>
          <w:b/>
          <w:bCs/>
          <w:sz w:val="22"/>
          <w:szCs w:val="22"/>
        </w:rPr>
        <w:lastRenderedPageBreak/>
        <w:t>TABLE VIII</w:t>
      </w:r>
    </w:p>
    <w:p w14:paraId="2536B6A4" w14:textId="77777777" w:rsidR="007A2869" w:rsidRDefault="00000000">
      <w:pPr>
        <w:keepNext/>
        <w:spacing w:after="60" w:line="300" w:lineRule="auto"/>
      </w:pPr>
      <w:r>
        <w:rPr>
          <w:sz w:val="22"/>
          <w:szCs w:val="22"/>
        </w:rPr>
        <w:t>FI-Expanded Universe: Performance Comparison</w:t>
      </w:r>
    </w:p>
    <w:p w14:paraId="2536B6A5" w14:textId="77777777" w:rsidR="007A2869" w:rsidRDefault="00000000">
      <w:pPr>
        <w:keepNext/>
        <w:spacing w:before="60" w:after="120" w:line="276" w:lineRule="auto"/>
      </w:pPr>
      <w:r>
        <w:rPr>
          <w:sz w:val="18"/>
          <w:szCs w:val="18"/>
        </w:rPr>
        <w:t>Baseline = 11-asset universe (10 risky + EURIBOR 3M). FI-Expanded = 14-asset universe (+ Germany, Spain, Italy government bond TR). Gross performance at 0 bps TC. Panel A: 2003 to 2026 (1,213 weeks). Panel B: 2010 to 2026 (808 weeks). Delta = FI-Expanded minus Baseline. The 2022 rate-shock episode (ECB +250bps) was a severe adverse scenario for FI-expanded portfolios. The Italy bond series (RIC .FTIT_TSYUSDT) is EUR-converted by LSEG; no native EUR RIC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900"/>
        <w:gridCol w:w="900"/>
        <w:gridCol w:w="900"/>
        <w:gridCol w:w="900"/>
        <w:gridCol w:w="2860"/>
      </w:tblGrid>
      <w:tr w:rsidR="007A2869" w14:paraId="2536B6AD" w14:textId="77777777">
        <w:tblPrEx>
          <w:tblCellMar>
            <w:top w:w="0" w:type="dxa"/>
            <w:bottom w:w="0" w:type="dxa"/>
          </w:tblCellMar>
        </w:tblPrEx>
        <w:trPr>
          <w:tblHeader/>
        </w:trPr>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A6" w14:textId="77777777" w:rsidR="007A2869" w:rsidRDefault="00000000">
            <w:r>
              <w:rPr>
                <w:b/>
                <w:bCs/>
                <w:sz w:val="20"/>
                <w:szCs w:val="20"/>
              </w:rPr>
              <w:t>Strategy</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A7" w14:textId="77777777" w:rsidR="007A2869" w:rsidRDefault="00000000">
            <w:pPr>
              <w:jc w:val="right"/>
            </w:pPr>
            <w:r>
              <w:rPr>
                <w:b/>
                <w:bCs/>
                <w:sz w:val="20"/>
                <w:szCs w:val="20"/>
              </w:rPr>
              <w:t>Sharpe Base</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A8" w14:textId="77777777" w:rsidR="007A2869" w:rsidRDefault="00000000">
            <w:pPr>
              <w:jc w:val="right"/>
            </w:pPr>
            <w:r>
              <w:rPr>
                <w:b/>
                <w:bCs/>
                <w:sz w:val="20"/>
                <w:szCs w:val="20"/>
              </w:rPr>
              <w:t>Sharpe FI-Exp</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A9" w14:textId="77777777" w:rsidR="007A2869" w:rsidRDefault="00000000">
            <w:pPr>
              <w:jc w:val="right"/>
            </w:pPr>
            <w:r>
              <w:rPr>
                <w:b/>
                <w:bCs/>
                <w:sz w:val="20"/>
                <w:szCs w:val="20"/>
              </w:rPr>
              <w:t>Delta Sharpe</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AA" w14:textId="77777777" w:rsidR="007A2869" w:rsidRDefault="00000000">
            <w:pPr>
              <w:jc w:val="right"/>
            </w:pPr>
            <w:r>
              <w:rPr>
                <w:b/>
                <w:bCs/>
                <w:sz w:val="20"/>
                <w:szCs w:val="20"/>
              </w:rPr>
              <w:t>MaxDD Base</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AB" w14:textId="77777777" w:rsidR="007A2869" w:rsidRDefault="00000000">
            <w:pPr>
              <w:jc w:val="right"/>
            </w:pPr>
            <w:r>
              <w:rPr>
                <w:b/>
                <w:bCs/>
                <w:sz w:val="20"/>
                <w:szCs w:val="20"/>
              </w:rPr>
              <w:t>MaxDD FI-Exp</w:t>
            </w:r>
          </w:p>
        </w:tc>
        <w:tc>
          <w:tcPr>
            <w:tcW w:w="9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6AC" w14:textId="77777777" w:rsidR="007A2869" w:rsidRDefault="00000000">
            <w:pPr>
              <w:jc w:val="right"/>
            </w:pPr>
            <w:r>
              <w:rPr>
                <w:b/>
                <w:bCs/>
                <w:sz w:val="20"/>
                <w:szCs w:val="20"/>
              </w:rPr>
              <w:t>Delta MaxDD</w:t>
            </w:r>
          </w:p>
        </w:tc>
      </w:tr>
      <w:tr w:rsidR="007A2869" w14:paraId="2536B6AF" w14:textId="77777777">
        <w:tblPrEx>
          <w:tblCellMar>
            <w:top w:w="0" w:type="dxa"/>
            <w:bottom w:w="0" w:type="dxa"/>
          </w:tblCellMar>
        </w:tblPrEx>
        <w:tc>
          <w:tcPr>
            <w:tcW w:w="9360" w:type="dxa"/>
            <w:gridSpan w:val="7"/>
            <w:tcBorders>
              <w:top w:val="single" w:sz="6" w:space="0" w:color="000000"/>
              <w:left w:val="nil"/>
              <w:bottom w:val="nil"/>
              <w:right w:val="nil"/>
            </w:tcBorders>
            <w:tcMar>
              <w:top w:w="60" w:type="dxa"/>
              <w:left w:w="80" w:type="dxa"/>
              <w:bottom w:w="60" w:type="dxa"/>
              <w:right w:w="80" w:type="dxa"/>
            </w:tcMar>
            <w:vAlign w:val="center"/>
          </w:tcPr>
          <w:p w14:paraId="2536B6AE" w14:textId="77777777" w:rsidR="007A2869" w:rsidRDefault="00000000">
            <w:r>
              <w:rPr>
                <w:b/>
                <w:bCs/>
                <w:sz w:val="20"/>
                <w:szCs w:val="20"/>
              </w:rPr>
              <w:t>Panel A: 2003 to 2026</w:t>
            </w:r>
          </w:p>
        </w:tc>
      </w:tr>
      <w:tr w:rsidR="007A2869" w14:paraId="2536B6B7"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6B0" w14:textId="77777777" w:rsidR="007A2869" w:rsidRDefault="00000000">
            <w:r>
              <w:rPr>
                <w:sz w:val="20"/>
                <w:szCs w:val="20"/>
              </w:rPr>
              <w:t>Equal-Weight Risky</w:t>
            </w:r>
          </w:p>
        </w:tc>
        <w:tc>
          <w:tcPr>
            <w:tcW w:w="900" w:type="dxa"/>
            <w:tcBorders>
              <w:top w:val="nil"/>
              <w:left w:val="nil"/>
              <w:bottom w:val="nil"/>
              <w:right w:val="nil"/>
            </w:tcBorders>
            <w:tcMar>
              <w:top w:w="60" w:type="dxa"/>
              <w:left w:w="80" w:type="dxa"/>
              <w:bottom w:w="60" w:type="dxa"/>
              <w:right w:w="80" w:type="dxa"/>
            </w:tcMar>
            <w:vAlign w:val="center"/>
          </w:tcPr>
          <w:p w14:paraId="2536B6B1" w14:textId="77777777" w:rsidR="007A2869" w:rsidRDefault="00000000">
            <w:pPr>
              <w:jc w:val="right"/>
            </w:pPr>
            <w:r>
              <w:rPr>
                <w:sz w:val="20"/>
                <w:szCs w:val="20"/>
              </w:rPr>
              <w:t>0.368</w:t>
            </w:r>
          </w:p>
        </w:tc>
        <w:tc>
          <w:tcPr>
            <w:tcW w:w="900" w:type="dxa"/>
            <w:tcBorders>
              <w:top w:val="nil"/>
              <w:left w:val="nil"/>
              <w:bottom w:val="nil"/>
              <w:right w:val="nil"/>
            </w:tcBorders>
            <w:tcMar>
              <w:top w:w="60" w:type="dxa"/>
              <w:left w:w="80" w:type="dxa"/>
              <w:bottom w:w="60" w:type="dxa"/>
              <w:right w:w="80" w:type="dxa"/>
            </w:tcMar>
            <w:vAlign w:val="center"/>
          </w:tcPr>
          <w:p w14:paraId="2536B6B2" w14:textId="77777777" w:rsidR="007A2869" w:rsidRDefault="00000000">
            <w:pPr>
              <w:jc w:val="right"/>
            </w:pPr>
            <w:r>
              <w:rPr>
                <w:sz w:val="20"/>
                <w:szCs w:val="20"/>
              </w:rPr>
              <w:t>0.313</w:t>
            </w:r>
          </w:p>
        </w:tc>
        <w:tc>
          <w:tcPr>
            <w:tcW w:w="900" w:type="dxa"/>
            <w:tcBorders>
              <w:top w:val="nil"/>
              <w:left w:val="nil"/>
              <w:bottom w:val="nil"/>
              <w:right w:val="nil"/>
            </w:tcBorders>
            <w:tcMar>
              <w:top w:w="60" w:type="dxa"/>
              <w:left w:w="80" w:type="dxa"/>
              <w:bottom w:w="60" w:type="dxa"/>
              <w:right w:w="80" w:type="dxa"/>
            </w:tcMar>
            <w:vAlign w:val="center"/>
          </w:tcPr>
          <w:p w14:paraId="2536B6B3" w14:textId="77777777" w:rsidR="007A2869" w:rsidRDefault="00000000">
            <w:pPr>
              <w:jc w:val="right"/>
            </w:pPr>
            <w:r>
              <w:rPr>
                <w:sz w:val="20"/>
                <w:szCs w:val="20"/>
              </w:rPr>
              <w:t>-0.055</w:t>
            </w:r>
          </w:p>
        </w:tc>
        <w:tc>
          <w:tcPr>
            <w:tcW w:w="900" w:type="dxa"/>
            <w:tcBorders>
              <w:top w:val="nil"/>
              <w:left w:val="nil"/>
              <w:bottom w:val="nil"/>
              <w:right w:val="nil"/>
            </w:tcBorders>
            <w:tcMar>
              <w:top w:w="60" w:type="dxa"/>
              <w:left w:w="80" w:type="dxa"/>
              <w:bottom w:w="60" w:type="dxa"/>
              <w:right w:w="80" w:type="dxa"/>
            </w:tcMar>
            <w:vAlign w:val="center"/>
          </w:tcPr>
          <w:p w14:paraId="2536B6B4" w14:textId="77777777" w:rsidR="007A2869" w:rsidRDefault="00000000">
            <w:pPr>
              <w:jc w:val="right"/>
            </w:pPr>
            <w:r>
              <w:rPr>
                <w:sz w:val="20"/>
                <w:szCs w:val="20"/>
              </w:rPr>
              <w:t>-50.1%</w:t>
            </w:r>
          </w:p>
        </w:tc>
        <w:tc>
          <w:tcPr>
            <w:tcW w:w="900" w:type="dxa"/>
            <w:tcBorders>
              <w:top w:val="nil"/>
              <w:left w:val="nil"/>
              <w:bottom w:val="nil"/>
              <w:right w:val="nil"/>
            </w:tcBorders>
            <w:tcMar>
              <w:top w:w="60" w:type="dxa"/>
              <w:left w:w="80" w:type="dxa"/>
              <w:bottom w:w="60" w:type="dxa"/>
              <w:right w:w="80" w:type="dxa"/>
            </w:tcMar>
            <w:vAlign w:val="center"/>
          </w:tcPr>
          <w:p w14:paraId="2536B6B5" w14:textId="77777777" w:rsidR="007A2869" w:rsidRDefault="00000000">
            <w:pPr>
              <w:jc w:val="right"/>
            </w:pPr>
            <w:r>
              <w:rPr>
                <w:sz w:val="20"/>
                <w:szCs w:val="20"/>
              </w:rPr>
              <w:t>-38.9%</w:t>
            </w:r>
          </w:p>
        </w:tc>
        <w:tc>
          <w:tcPr>
            <w:tcW w:w="960" w:type="dxa"/>
            <w:tcBorders>
              <w:top w:val="nil"/>
              <w:left w:val="nil"/>
              <w:bottom w:val="nil"/>
              <w:right w:val="nil"/>
            </w:tcBorders>
            <w:tcMar>
              <w:top w:w="60" w:type="dxa"/>
              <w:left w:w="80" w:type="dxa"/>
              <w:bottom w:w="60" w:type="dxa"/>
              <w:right w:w="80" w:type="dxa"/>
            </w:tcMar>
            <w:vAlign w:val="center"/>
          </w:tcPr>
          <w:p w14:paraId="2536B6B6" w14:textId="77777777" w:rsidR="007A2869" w:rsidRDefault="00000000">
            <w:pPr>
              <w:jc w:val="right"/>
            </w:pPr>
            <w:r>
              <w:rPr>
                <w:sz w:val="20"/>
                <w:szCs w:val="20"/>
              </w:rPr>
              <w:t>+11.2pp</w:t>
            </w:r>
          </w:p>
        </w:tc>
      </w:tr>
      <w:tr w:rsidR="007A2869" w14:paraId="2536B6BF"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6B8" w14:textId="77777777" w:rsidR="007A2869" w:rsidRDefault="00000000">
            <w:r>
              <w:rPr>
                <w:sz w:val="20"/>
                <w:szCs w:val="20"/>
              </w:rPr>
              <w:t>Static CVaR</w:t>
            </w:r>
          </w:p>
        </w:tc>
        <w:tc>
          <w:tcPr>
            <w:tcW w:w="900" w:type="dxa"/>
            <w:tcBorders>
              <w:top w:val="nil"/>
              <w:left w:val="nil"/>
              <w:bottom w:val="nil"/>
              <w:right w:val="nil"/>
            </w:tcBorders>
            <w:tcMar>
              <w:top w:w="60" w:type="dxa"/>
              <w:left w:w="80" w:type="dxa"/>
              <w:bottom w:w="60" w:type="dxa"/>
              <w:right w:w="80" w:type="dxa"/>
            </w:tcMar>
            <w:vAlign w:val="center"/>
          </w:tcPr>
          <w:p w14:paraId="2536B6B9" w14:textId="77777777" w:rsidR="007A2869" w:rsidRDefault="00000000">
            <w:pPr>
              <w:jc w:val="right"/>
            </w:pPr>
            <w:r>
              <w:rPr>
                <w:sz w:val="20"/>
                <w:szCs w:val="20"/>
              </w:rPr>
              <w:t>0.513</w:t>
            </w:r>
          </w:p>
        </w:tc>
        <w:tc>
          <w:tcPr>
            <w:tcW w:w="900" w:type="dxa"/>
            <w:tcBorders>
              <w:top w:val="nil"/>
              <w:left w:val="nil"/>
              <w:bottom w:val="nil"/>
              <w:right w:val="nil"/>
            </w:tcBorders>
            <w:tcMar>
              <w:top w:w="60" w:type="dxa"/>
              <w:left w:w="80" w:type="dxa"/>
              <w:bottom w:w="60" w:type="dxa"/>
              <w:right w:w="80" w:type="dxa"/>
            </w:tcMar>
            <w:vAlign w:val="center"/>
          </w:tcPr>
          <w:p w14:paraId="2536B6BA" w14:textId="77777777" w:rsidR="007A2869" w:rsidRDefault="00000000">
            <w:pPr>
              <w:jc w:val="right"/>
            </w:pPr>
            <w:r>
              <w:rPr>
                <w:sz w:val="20"/>
                <w:szCs w:val="20"/>
              </w:rPr>
              <w:t>0.547</w:t>
            </w:r>
          </w:p>
        </w:tc>
        <w:tc>
          <w:tcPr>
            <w:tcW w:w="900" w:type="dxa"/>
            <w:tcBorders>
              <w:top w:val="nil"/>
              <w:left w:val="nil"/>
              <w:bottom w:val="nil"/>
              <w:right w:val="nil"/>
            </w:tcBorders>
            <w:tcMar>
              <w:top w:w="60" w:type="dxa"/>
              <w:left w:w="80" w:type="dxa"/>
              <w:bottom w:w="60" w:type="dxa"/>
              <w:right w:w="80" w:type="dxa"/>
            </w:tcMar>
            <w:vAlign w:val="center"/>
          </w:tcPr>
          <w:p w14:paraId="2536B6BB" w14:textId="77777777" w:rsidR="007A2869" w:rsidRDefault="00000000">
            <w:pPr>
              <w:jc w:val="right"/>
            </w:pPr>
            <w:r>
              <w:rPr>
                <w:sz w:val="20"/>
                <w:szCs w:val="20"/>
              </w:rPr>
              <w:t>+0.034</w:t>
            </w:r>
          </w:p>
        </w:tc>
        <w:tc>
          <w:tcPr>
            <w:tcW w:w="900" w:type="dxa"/>
            <w:tcBorders>
              <w:top w:val="nil"/>
              <w:left w:val="nil"/>
              <w:bottom w:val="nil"/>
              <w:right w:val="nil"/>
            </w:tcBorders>
            <w:tcMar>
              <w:top w:w="60" w:type="dxa"/>
              <w:left w:w="80" w:type="dxa"/>
              <w:bottom w:w="60" w:type="dxa"/>
              <w:right w:w="80" w:type="dxa"/>
            </w:tcMar>
            <w:vAlign w:val="center"/>
          </w:tcPr>
          <w:p w14:paraId="2536B6BC" w14:textId="77777777" w:rsidR="007A2869" w:rsidRDefault="00000000">
            <w:pPr>
              <w:jc w:val="right"/>
            </w:pPr>
            <w:r>
              <w:rPr>
                <w:sz w:val="20"/>
                <w:szCs w:val="20"/>
              </w:rPr>
              <w:t>-39.5%</w:t>
            </w:r>
          </w:p>
        </w:tc>
        <w:tc>
          <w:tcPr>
            <w:tcW w:w="900" w:type="dxa"/>
            <w:tcBorders>
              <w:top w:val="nil"/>
              <w:left w:val="nil"/>
              <w:bottom w:val="nil"/>
              <w:right w:val="nil"/>
            </w:tcBorders>
            <w:tcMar>
              <w:top w:w="60" w:type="dxa"/>
              <w:left w:w="80" w:type="dxa"/>
              <w:bottom w:w="60" w:type="dxa"/>
              <w:right w:w="80" w:type="dxa"/>
            </w:tcMar>
            <w:vAlign w:val="center"/>
          </w:tcPr>
          <w:p w14:paraId="2536B6BD" w14:textId="77777777" w:rsidR="007A2869" w:rsidRDefault="00000000">
            <w:pPr>
              <w:jc w:val="right"/>
            </w:pPr>
            <w:r>
              <w:rPr>
                <w:sz w:val="20"/>
                <w:szCs w:val="20"/>
              </w:rPr>
              <w:t>-14.8%</w:t>
            </w:r>
          </w:p>
        </w:tc>
        <w:tc>
          <w:tcPr>
            <w:tcW w:w="960" w:type="dxa"/>
            <w:tcBorders>
              <w:top w:val="nil"/>
              <w:left w:val="nil"/>
              <w:bottom w:val="nil"/>
              <w:right w:val="nil"/>
            </w:tcBorders>
            <w:tcMar>
              <w:top w:w="60" w:type="dxa"/>
              <w:left w:w="80" w:type="dxa"/>
              <w:bottom w:w="60" w:type="dxa"/>
              <w:right w:w="80" w:type="dxa"/>
            </w:tcMar>
            <w:vAlign w:val="center"/>
          </w:tcPr>
          <w:p w14:paraId="2536B6BE" w14:textId="77777777" w:rsidR="007A2869" w:rsidRDefault="00000000">
            <w:pPr>
              <w:jc w:val="right"/>
            </w:pPr>
            <w:r>
              <w:rPr>
                <w:sz w:val="20"/>
                <w:szCs w:val="20"/>
              </w:rPr>
              <w:t>+24.7pp</w:t>
            </w:r>
          </w:p>
        </w:tc>
      </w:tr>
      <w:tr w:rsidR="007A2869" w14:paraId="2536B6C7"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6C0" w14:textId="77777777" w:rsidR="007A2869" w:rsidRDefault="00000000">
            <w:r>
              <w:rPr>
                <w:sz w:val="20"/>
                <w:szCs w:val="20"/>
              </w:rPr>
              <w:t>Markowitz (Min-Var)</w:t>
            </w:r>
          </w:p>
        </w:tc>
        <w:tc>
          <w:tcPr>
            <w:tcW w:w="900" w:type="dxa"/>
            <w:tcBorders>
              <w:top w:val="nil"/>
              <w:left w:val="nil"/>
              <w:bottom w:val="nil"/>
              <w:right w:val="nil"/>
            </w:tcBorders>
            <w:tcMar>
              <w:top w:w="60" w:type="dxa"/>
              <w:left w:w="80" w:type="dxa"/>
              <w:bottom w:w="60" w:type="dxa"/>
              <w:right w:w="80" w:type="dxa"/>
            </w:tcMar>
            <w:vAlign w:val="center"/>
          </w:tcPr>
          <w:p w14:paraId="2536B6C1" w14:textId="77777777" w:rsidR="007A2869" w:rsidRDefault="00000000">
            <w:pPr>
              <w:jc w:val="right"/>
            </w:pPr>
            <w:r>
              <w:rPr>
                <w:sz w:val="20"/>
                <w:szCs w:val="20"/>
              </w:rPr>
              <w:t>0.409</w:t>
            </w:r>
          </w:p>
        </w:tc>
        <w:tc>
          <w:tcPr>
            <w:tcW w:w="900" w:type="dxa"/>
            <w:tcBorders>
              <w:top w:val="nil"/>
              <w:left w:val="nil"/>
              <w:bottom w:val="nil"/>
              <w:right w:val="nil"/>
            </w:tcBorders>
            <w:tcMar>
              <w:top w:w="60" w:type="dxa"/>
              <w:left w:w="80" w:type="dxa"/>
              <w:bottom w:w="60" w:type="dxa"/>
              <w:right w:w="80" w:type="dxa"/>
            </w:tcMar>
            <w:vAlign w:val="center"/>
          </w:tcPr>
          <w:p w14:paraId="2536B6C2" w14:textId="77777777" w:rsidR="007A2869" w:rsidRDefault="00000000">
            <w:pPr>
              <w:jc w:val="right"/>
            </w:pPr>
            <w:r>
              <w:rPr>
                <w:sz w:val="20"/>
                <w:szCs w:val="20"/>
              </w:rPr>
              <w:t>0.447</w:t>
            </w:r>
          </w:p>
        </w:tc>
        <w:tc>
          <w:tcPr>
            <w:tcW w:w="900" w:type="dxa"/>
            <w:tcBorders>
              <w:top w:val="nil"/>
              <w:left w:val="nil"/>
              <w:bottom w:val="nil"/>
              <w:right w:val="nil"/>
            </w:tcBorders>
            <w:tcMar>
              <w:top w:w="60" w:type="dxa"/>
              <w:left w:w="80" w:type="dxa"/>
              <w:bottom w:w="60" w:type="dxa"/>
              <w:right w:w="80" w:type="dxa"/>
            </w:tcMar>
            <w:vAlign w:val="center"/>
          </w:tcPr>
          <w:p w14:paraId="2536B6C3" w14:textId="77777777" w:rsidR="007A2869" w:rsidRDefault="00000000">
            <w:pPr>
              <w:jc w:val="right"/>
            </w:pPr>
            <w:r>
              <w:rPr>
                <w:sz w:val="20"/>
                <w:szCs w:val="20"/>
              </w:rPr>
              <w:t>+0.038</w:t>
            </w:r>
          </w:p>
        </w:tc>
        <w:tc>
          <w:tcPr>
            <w:tcW w:w="900" w:type="dxa"/>
            <w:tcBorders>
              <w:top w:val="nil"/>
              <w:left w:val="nil"/>
              <w:bottom w:val="nil"/>
              <w:right w:val="nil"/>
            </w:tcBorders>
            <w:tcMar>
              <w:top w:w="60" w:type="dxa"/>
              <w:left w:w="80" w:type="dxa"/>
              <w:bottom w:w="60" w:type="dxa"/>
              <w:right w:w="80" w:type="dxa"/>
            </w:tcMar>
            <w:vAlign w:val="center"/>
          </w:tcPr>
          <w:p w14:paraId="2536B6C4" w14:textId="77777777" w:rsidR="007A2869" w:rsidRDefault="00000000">
            <w:pPr>
              <w:jc w:val="right"/>
            </w:pPr>
            <w:r>
              <w:rPr>
                <w:sz w:val="20"/>
                <w:szCs w:val="20"/>
              </w:rPr>
              <w:t>-45.6%</w:t>
            </w:r>
          </w:p>
        </w:tc>
        <w:tc>
          <w:tcPr>
            <w:tcW w:w="900" w:type="dxa"/>
            <w:tcBorders>
              <w:top w:val="nil"/>
              <w:left w:val="nil"/>
              <w:bottom w:val="nil"/>
              <w:right w:val="nil"/>
            </w:tcBorders>
            <w:tcMar>
              <w:top w:w="60" w:type="dxa"/>
              <w:left w:w="80" w:type="dxa"/>
              <w:bottom w:w="60" w:type="dxa"/>
              <w:right w:w="80" w:type="dxa"/>
            </w:tcMar>
            <w:vAlign w:val="center"/>
          </w:tcPr>
          <w:p w14:paraId="2536B6C5" w14:textId="77777777" w:rsidR="007A2869" w:rsidRDefault="00000000">
            <w:pPr>
              <w:jc w:val="right"/>
            </w:pPr>
            <w:r>
              <w:rPr>
                <w:sz w:val="20"/>
                <w:szCs w:val="20"/>
              </w:rPr>
              <w:t>-14.2%</w:t>
            </w:r>
          </w:p>
        </w:tc>
        <w:tc>
          <w:tcPr>
            <w:tcW w:w="960" w:type="dxa"/>
            <w:tcBorders>
              <w:top w:val="nil"/>
              <w:left w:val="nil"/>
              <w:bottom w:val="nil"/>
              <w:right w:val="nil"/>
            </w:tcBorders>
            <w:tcMar>
              <w:top w:w="60" w:type="dxa"/>
              <w:left w:w="80" w:type="dxa"/>
              <w:bottom w:w="60" w:type="dxa"/>
              <w:right w:w="80" w:type="dxa"/>
            </w:tcMar>
            <w:vAlign w:val="center"/>
          </w:tcPr>
          <w:p w14:paraId="2536B6C6" w14:textId="77777777" w:rsidR="007A2869" w:rsidRDefault="00000000">
            <w:pPr>
              <w:jc w:val="right"/>
            </w:pPr>
            <w:r>
              <w:rPr>
                <w:sz w:val="20"/>
                <w:szCs w:val="20"/>
              </w:rPr>
              <w:t>+31.4pp</w:t>
            </w:r>
          </w:p>
        </w:tc>
      </w:tr>
      <w:tr w:rsidR="007A2869" w14:paraId="2536B6C9" w14:textId="77777777">
        <w:tblPrEx>
          <w:tblCellMar>
            <w:top w:w="0" w:type="dxa"/>
            <w:bottom w:w="0" w:type="dxa"/>
          </w:tblCellMar>
        </w:tblPrEx>
        <w:tc>
          <w:tcPr>
            <w:tcW w:w="9360" w:type="dxa"/>
            <w:gridSpan w:val="7"/>
            <w:tcBorders>
              <w:top w:val="single" w:sz="6" w:space="0" w:color="000000"/>
              <w:left w:val="nil"/>
              <w:bottom w:val="nil"/>
              <w:right w:val="nil"/>
            </w:tcBorders>
            <w:tcMar>
              <w:top w:w="60" w:type="dxa"/>
              <w:left w:w="80" w:type="dxa"/>
              <w:bottom w:w="60" w:type="dxa"/>
              <w:right w:w="80" w:type="dxa"/>
            </w:tcMar>
            <w:vAlign w:val="center"/>
          </w:tcPr>
          <w:p w14:paraId="2536B6C8" w14:textId="77777777" w:rsidR="007A2869" w:rsidRDefault="00000000">
            <w:r>
              <w:rPr>
                <w:b/>
                <w:bCs/>
                <w:sz w:val="20"/>
                <w:szCs w:val="20"/>
              </w:rPr>
              <w:t>Panel B: 2010 to 2026</w:t>
            </w:r>
          </w:p>
        </w:tc>
      </w:tr>
      <w:tr w:rsidR="007A2869" w14:paraId="2536B6D1"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6CA" w14:textId="77777777" w:rsidR="007A2869" w:rsidRDefault="00000000">
            <w:r>
              <w:rPr>
                <w:sz w:val="20"/>
                <w:szCs w:val="20"/>
              </w:rPr>
              <w:t>Static CVaR</w:t>
            </w:r>
          </w:p>
        </w:tc>
        <w:tc>
          <w:tcPr>
            <w:tcW w:w="900" w:type="dxa"/>
            <w:tcBorders>
              <w:top w:val="nil"/>
              <w:left w:val="nil"/>
              <w:bottom w:val="nil"/>
              <w:right w:val="nil"/>
            </w:tcBorders>
            <w:tcMar>
              <w:top w:w="60" w:type="dxa"/>
              <w:left w:w="80" w:type="dxa"/>
              <w:bottom w:w="60" w:type="dxa"/>
              <w:right w:w="80" w:type="dxa"/>
            </w:tcMar>
            <w:vAlign w:val="center"/>
          </w:tcPr>
          <w:p w14:paraId="2536B6CB" w14:textId="77777777" w:rsidR="007A2869" w:rsidRDefault="00000000">
            <w:pPr>
              <w:jc w:val="right"/>
            </w:pPr>
            <w:r>
              <w:rPr>
                <w:sz w:val="20"/>
                <w:szCs w:val="20"/>
              </w:rPr>
              <w:t>0.530</w:t>
            </w:r>
          </w:p>
        </w:tc>
        <w:tc>
          <w:tcPr>
            <w:tcW w:w="900" w:type="dxa"/>
            <w:tcBorders>
              <w:top w:val="nil"/>
              <w:left w:val="nil"/>
              <w:bottom w:val="nil"/>
              <w:right w:val="nil"/>
            </w:tcBorders>
            <w:tcMar>
              <w:top w:w="60" w:type="dxa"/>
              <w:left w:w="80" w:type="dxa"/>
              <w:bottom w:w="60" w:type="dxa"/>
              <w:right w:w="80" w:type="dxa"/>
            </w:tcMar>
            <w:vAlign w:val="center"/>
          </w:tcPr>
          <w:p w14:paraId="2536B6CC" w14:textId="77777777" w:rsidR="007A2869" w:rsidRDefault="00000000">
            <w:pPr>
              <w:jc w:val="right"/>
            </w:pPr>
            <w:r>
              <w:rPr>
                <w:sz w:val="20"/>
                <w:szCs w:val="20"/>
              </w:rPr>
              <w:t>0.504</w:t>
            </w:r>
          </w:p>
        </w:tc>
        <w:tc>
          <w:tcPr>
            <w:tcW w:w="900" w:type="dxa"/>
            <w:tcBorders>
              <w:top w:val="nil"/>
              <w:left w:val="nil"/>
              <w:bottom w:val="nil"/>
              <w:right w:val="nil"/>
            </w:tcBorders>
            <w:tcMar>
              <w:top w:w="60" w:type="dxa"/>
              <w:left w:w="80" w:type="dxa"/>
              <w:bottom w:w="60" w:type="dxa"/>
              <w:right w:w="80" w:type="dxa"/>
            </w:tcMar>
            <w:vAlign w:val="center"/>
          </w:tcPr>
          <w:p w14:paraId="2536B6CD" w14:textId="77777777" w:rsidR="007A2869" w:rsidRDefault="00000000">
            <w:pPr>
              <w:jc w:val="right"/>
            </w:pPr>
            <w:r>
              <w:rPr>
                <w:sz w:val="20"/>
                <w:szCs w:val="20"/>
              </w:rPr>
              <w:t>-0.026</w:t>
            </w:r>
          </w:p>
        </w:tc>
        <w:tc>
          <w:tcPr>
            <w:tcW w:w="900" w:type="dxa"/>
            <w:tcBorders>
              <w:top w:val="nil"/>
              <w:left w:val="nil"/>
              <w:bottom w:val="nil"/>
              <w:right w:val="nil"/>
            </w:tcBorders>
            <w:tcMar>
              <w:top w:w="60" w:type="dxa"/>
              <w:left w:w="80" w:type="dxa"/>
              <w:bottom w:w="60" w:type="dxa"/>
              <w:right w:w="80" w:type="dxa"/>
            </w:tcMar>
            <w:vAlign w:val="center"/>
          </w:tcPr>
          <w:p w14:paraId="2536B6CE" w14:textId="77777777" w:rsidR="007A2869" w:rsidRDefault="00000000">
            <w:pPr>
              <w:jc w:val="right"/>
            </w:pPr>
            <w:r>
              <w:rPr>
                <w:sz w:val="20"/>
                <w:szCs w:val="20"/>
              </w:rPr>
              <w:t>-25.3%</w:t>
            </w:r>
          </w:p>
        </w:tc>
        <w:tc>
          <w:tcPr>
            <w:tcW w:w="900" w:type="dxa"/>
            <w:tcBorders>
              <w:top w:val="nil"/>
              <w:left w:val="nil"/>
              <w:bottom w:val="nil"/>
              <w:right w:val="nil"/>
            </w:tcBorders>
            <w:tcMar>
              <w:top w:w="60" w:type="dxa"/>
              <w:left w:w="80" w:type="dxa"/>
              <w:bottom w:w="60" w:type="dxa"/>
              <w:right w:w="80" w:type="dxa"/>
            </w:tcMar>
            <w:vAlign w:val="center"/>
          </w:tcPr>
          <w:p w14:paraId="2536B6CF" w14:textId="77777777" w:rsidR="007A2869" w:rsidRDefault="00000000">
            <w:pPr>
              <w:jc w:val="right"/>
            </w:pPr>
            <w:r>
              <w:rPr>
                <w:sz w:val="20"/>
                <w:szCs w:val="20"/>
              </w:rPr>
              <w:t>-14.6%</w:t>
            </w:r>
          </w:p>
        </w:tc>
        <w:tc>
          <w:tcPr>
            <w:tcW w:w="960" w:type="dxa"/>
            <w:tcBorders>
              <w:top w:val="nil"/>
              <w:left w:val="nil"/>
              <w:bottom w:val="nil"/>
              <w:right w:val="nil"/>
            </w:tcBorders>
            <w:tcMar>
              <w:top w:w="60" w:type="dxa"/>
              <w:left w:w="80" w:type="dxa"/>
              <w:bottom w:w="60" w:type="dxa"/>
              <w:right w:w="80" w:type="dxa"/>
            </w:tcMar>
            <w:vAlign w:val="center"/>
          </w:tcPr>
          <w:p w14:paraId="2536B6D0" w14:textId="77777777" w:rsidR="007A2869" w:rsidRDefault="00000000">
            <w:pPr>
              <w:jc w:val="right"/>
            </w:pPr>
            <w:r>
              <w:rPr>
                <w:sz w:val="20"/>
                <w:szCs w:val="20"/>
              </w:rPr>
              <w:t>+10.7pp</w:t>
            </w:r>
          </w:p>
        </w:tc>
      </w:tr>
      <w:tr w:rsidR="007A2869" w14:paraId="2536B6D9"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6D2" w14:textId="77777777" w:rsidR="007A2869" w:rsidRDefault="00000000">
            <w:r>
              <w:rPr>
                <w:sz w:val="20"/>
                <w:szCs w:val="20"/>
              </w:rPr>
              <w:t>Markowitz (Min-Var)</w:t>
            </w:r>
          </w:p>
        </w:tc>
        <w:tc>
          <w:tcPr>
            <w:tcW w:w="900" w:type="dxa"/>
            <w:tcBorders>
              <w:top w:val="nil"/>
              <w:left w:val="nil"/>
              <w:bottom w:val="nil"/>
              <w:right w:val="nil"/>
            </w:tcBorders>
            <w:tcMar>
              <w:top w:w="60" w:type="dxa"/>
              <w:left w:w="80" w:type="dxa"/>
              <w:bottom w:w="60" w:type="dxa"/>
              <w:right w:w="80" w:type="dxa"/>
            </w:tcMar>
            <w:vAlign w:val="center"/>
          </w:tcPr>
          <w:p w14:paraId="2536B6D3" w14:textId="77777777" w:rsidR="007A2869" w:rsidRDefault="00000000">
            <w:pPr>
              <w:jc w:val="right"/>
            </w:pPr>
            <w:r>
              <w:rPr>
                <w:sz w:val="20"/>
                <w:szCs w:val="20"/>
              </w:rPr>
              <w:t>0.447</w:t>
            </w:r>
          </w:p>
        </w:tc>
        <w:tc>
          <w:tcPr>
            <w:tcW w:w="900" w:type="dxa"/>
            <w:tcBorders>
              <w:top w:val="nil"/>
              <w:left w:val="nil"/>
              <w:bottom w:val="nil"/>
              <w:right w:val="nil"/>
            </w:tcBorders>
            <w:tcMar>
              <w:top w:w="60" w:type="dxa"/>
              <w:left w:w="80" w:type="dxa"/>
              <w:bottom w:w="60" w:type="dxa"/>
              <w:right w:w="80" w:type="dxa"/>
            </w:tcMar>
            <w:vAlign w:val="center"/>
          </w:tcPr>
          <w:p w14:paraId="2536B6D4" w14:textId="77777777" w:rsidR="007A2869" w:rsidRDefault="00000000">
            <w:pPr>
              <w:jc w:val="right"/>
            </w:pPr>
            <w:r>
              <w:rPr>
                <w:sz w:val="20"/>
                <w:szCs w:val="20"/>
              </w:rPr>
              <w:t>0.463</w:t>
            </w:r>
          </w:p>
        </w:tc>
        <w:tc>
          <w:tcPr>
            <w:tcW w:w="900" w:type="dxa"/>
            <w:tcBorders>
              <w:top w:val="nil"/>
              <w:left w:val="nil"/>
              <w:bottom w:val="nil"/>
              <w:right w:val="nil"/>
            </w:tcBorders>
            <w:tcMar>
              <w:top w:w="60" w:type="dxa"/>
              <w:left w:w="80" w:type="dxa"/>
              <w:bottom w:w="60" w:type="dxa"/>
              <w:right w:w="80" w:type="dxa"/>
            </w:tcMar>
            <w:vAlign w:val="center"/>
          </w:tcPr>
          <w:p w14:paraId="2536B6D5" w14:textId="77777777" w:rsidR="007A2869" w:rsidRDefault="00000000">
            <w:pPr>
              <w:jc w:val="right"/>
            </w:pPr>
            <w:r>
              <w:rPr>
                <w:sz w:val="20"/>
                <w:szCs w:val="20"/>
              </w:rPr>
              <w:t>+0.016</w:t>
            </w:r>
          </w:p>
        </w:tc>
        <w:tc>
          <w:tcPr>
            <w:tcW w:w="900" w:type="dxa"/>
            <w:tcBorders>
              <w:top w:val="nil"/>
              <w:left w:val="nil"/>
              <w:bottom w:val="nil"/>
              <w:right w:val="nil"/>
            </w:tcBorders>
            <w:tcMar>
              <w:top w:w="60" w:type="dxa"/>
              <w:left w:w="80" w:type="dxa"/>
              <w:bottom w:w="60" w:type="dxa"/>
              <w:right w:w="80" w:type="dxa"/>
            </w:tcMar>
            <w:vAlign w:val="center"/>
          </w:tcPr>
          <w:p w14:paraId="2536B6D6" w14:textId="77777777" w:rsidR="007A2869" w:rsidRDefault="00000000">
            <w:pPr>
              <w:jc w:val="right"/>
            </w:pPr>
            <w:r>
              <w:rPr>
                <w:sz w:val="20"/>
                <w:szCs w:val="20"/>
              </w:rPr>
              <w:t>-24.9%</w:t>
            </w:r>
          </w:p>
        </w:tc>
        <w:tc>
          <w:tcPr>
            <w:tcW w:w="900" w:type="dxa"/>
            <w:tcBorders>
              <w:top w:val="nil"/>
              <w:left w:val="nil"/>
              <w:bottom w:val="nil"/>
              <w:right w:val="nil"/>
            </w:tcBorders>
            <w:tcMar>
              <w:top w:w="60" w:type="dxa"/>
              <w:left w:w="80" w:type="dxa"/>
              <w:bottom w:w="60" w:type="dxa"/>
              <w:right w:w="80" w:type="dxa"/>
            </w:tcMar>
            <w:vAlign w:val="center"/>
          </w:tcPr>
          <w:p w14:paraId="2536B6D7" w14:textId="77777777" w:rsidR="007A2869" w:rsidRDefault="00000000">
            <w:pPr>
              <w:jc w:val="right"/>
            </w:pPr>
            <w:r>
              <w:rPr>
                <w:sz w:val="20"/>
                <w:szCs w:val="20"/>
              </w:rPr>
              <w:t>-14.4%</w:t>
            </w:r>
          </w:p>
        </w:tc>
        <w:tc>
          <w:tcPr>
            <w:tcW w:w="960" w:type="dxa"/>
            <w:tcBorders>
              <w:top w:val="nil"/>
              <w:left w:val="nil"/>
              <w:bottom w:val="nil"/>
              <w:right w:val="nil"/>
            </w:tcBorders>
            <w:tcMar>
              <w:top w:w="60" w:type="dxa"/>
              <w:left w:w="80" w:type="dxa"/>
              <w:bottom w:w="60" w:type="dxa"/>
              <w:right w:w="80" w:type="dxa"/>
            </w:tcMar>
            <w:vAlign w:val="center"/>
          </w:tcPr>
          <w:p w14:paraId="2536B6D8" w14:textId="77777777" w:rsidR="007A2869" w:rsidRDefault="00000000">
            <w:pPr>
              <w:jc w:val="right"/>
            </w:pPr>
            <w:r>
              <w:rPr>
                <w:sz w:val="20"/>
                <w:szCs w:val="20"/>
              </w:rPr>
              <w:t>+10.5pp</w:t>
            </w:r>
          </w:p>
        </w:tc>
      </w:tr>
      <w:tr w:rsidR="007A2869" w14:paraId="2536B6E1"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6DA" w14:textId="77777777" w:rsidR="007A2869" w:rsidRDefault="00000000">
            <w:r>
              <w:rPr>
                <w:sz w:val="20"/>
                <w:szCs w:val="20"/>
              </w:rPr>
              <w:t>Regime CVaR-A</w:t>
            </w:r>
          </w:p>
        </w:tc>
        <w:tc>
          <w:tcPr>
            <w:tcW w:w="900" w:type="dxa"/>
            <w:tcBorders>
              <w:top w:val="nil"/>
              <w:left w:val="nil"/>
              <w:bottom w:val="nil"/>
              <w:right w:val="nil"/>
            </w:tcBorders>
            <w:tcMar>
              <w:top w:w="60" w:type="dxa"/>
              <w:left w:w="80" w:type="dxa"/>
              <w:bottom w:w="60" w:type="dxa"/>
              <w:right w:w="80" w:type="dxa"/>
            </w:tcMar>
            <w:vAlign w:val="center"/>
          </w:tcPr>
          <w:p w14:paraId="2536B6DB" w14:textId="77777777" w:rsidR="007A2869" w:rsidRDefault="00000000">
            <w:pPr>
              <w:jc w:val="right"/>
            </w:pPr>
            <w:r>
              <w:rPr>
                <w:sz w:val="20"/>
                <w:szCs w:val="20"/>
              </w:rPr>
              <w:t>0.365</w:t>
            </w:r>
          </w:p>
        </w:tc>
        <w:tc>
          <w:tcPr>
            <w:tcW w:w="900" w:type="dxa"/>
            <w:tcBorders>
              <w:top w:val="nil"/>
              <w:left w:val="nil"/>
              <w:bottom w:val="nil"/>
              <w:right w:val="nil"/>
            </w:tcBorders>
            <w:tcMar>
              <w:top w:w="60" w:type="dxa"/>
              <w:left w:w="80" w:type="dxa"/>
              <w:bottom w:w="60" w:type="dxa"/>
              <w:right w:w="80" w:type="dxa"/>
            </w:tcMar>
            <w:vAlign w:val="center"/>
          </w:tcPr>
          <w:p w14:paraId="2536B6DC" w14:textId="77777777" w:rsidR="007A2869" w:rsidRDefault="00000000">
            <w:pPr>
              <w:jc w:val="right"/>
            </w:pPr>
            <w:r>
              <w:rPr>
                <w:sz w:val="20"/>
                <w:szCs w:val="20"/>
              </w:rPr>
              <w:t>0.430</w:t>
            </w:r>
          </w:p>
        </w:tc>
        <w:tc>
          <w:tcPr>
            <w:tcW w:w="900" w:type="dxa"/>
            <w:tcBorders>
              <w:top w:val="nil"/>
              <w:left w:val="nil"/>
              <w:bottom w:val="nil"/>
              <w:right w:val="nil"/>
            </w:tcBorders>
            <w:tcMar>
              <w:top w:w="60" w:type="dxa"/>
              <w:left w:w="80" w:type="dxa"/>
              <w:bottom w:w="60" w:type="dxa"/>
              <w:right w:w="80" w:type="dxa"/>
            </w:tcMar>
            <w:vAlign w:val="center"/>
          </w:tcPr>
          <w:p w14:paraId="2536B6DD" w14:textId="77777777" w:rsidR="007A2869" w:rsidRDefault="00000000">
            <w:pPr>
              <w:jc w:val="right"/>
            </w:pPr>
            <w:r>
              <w:rPr>
                <w:sz w:val="20"/>
                <w:szCs w:val="20"/>
              </w:rPr>
              <w:t>+0.065</w:t>
            </w:r>
          </w:p>
        </w:tc>
        <w:tc>
          <w:tcPr>
            <w:tcW w:w="900" w:type="dxa"/>
            <w:tcBorders>
              <w:top w:val="nil"/>
              <w:left w:val="nil"/>
              <w:bottom w:val="nil"/>
              <w:right w:val="nil"/>
            </w:tcBorders>
            <w:tcMar>
              <w:top w:w="60" w:type="dxa"/>
              <w:left w:w="80" w:type="dxa"/>
              <w:bottom w:w="60" w:type="dxa"/>
              <w:right w:w="80" w:type="dxa"/>
            </w:tcMar>
            <w:vAlign w:val="center"/>
          </w:tcPr>
          <w:p w14:paraId="2536B6DE" w14:textId="77777777" w:rsidR="007A2869" w:rsidRDefault="00000000">
            <w:pPr>
              <w:jc w:val="right"/>
            </w:pPr>
            <w:r>
              <w:rPr>
                <w:sz w:val="20"/>
                <w:szCs w:val="20"/>
              </w:rPr>
              <w:t>-25.8%</w:t>
            </w:r>
          </w:p>
        </w:tc>
        <w:tc>
          <w:tcPr>
            <w:tcW w:w="900" w:type="dxa"/>
            <w:tcBorders>
              <w:top w:val="nil"/>
              <w:left w:val="nil"/>
              <w:bottom w:val="nil"/>
              <w:right w:val="nil"/>
            </w:tcBorders>
            <w:tcMar>
              <w:top w:w="60" w:type="dxa"/>
              <w:left w:w="80" w:type="dxa"/>
              <w:bottom w:w="60" w:type="dxa"/>
              <w:right w:w="80" w:type="dxa"/>
            </w:tcMar>
            <w:vAlign w:val="center"/>
          </w:tcPr>
          <w:p w14:paraId="2536B6DF" w14:textId="77777777" w:rsidR="007A2869" w:rsidRDefault="00000000">
            <w:pPr>
              <w:jc w:val="right"/>
            </w:pPr>
            <w:r>
              <w:rPr>
                <w:sz w:val="20"/>
                <w:szCs w:val="20"/>
              </w:rPr>
              <w:t>-17.2%</w:t>
            </w:r>
          </w:p>
        </w:tc>
        <w:tc>
          <w:tcPr>
            <w:tcW w:w="960" w:type="dxa"/>
            <w:tcBorders>
              <w:top w:val="nil"/>
              <w:left w:val="nil"/>
              <w:bottom w:val="nil"/>
              <w:right w:val="nil"/>
            </w:tcBorders>
            <w:tcMar>
              <w:top w:w="60" w:type="dxa"/>
              <w:left w:w="80" w:type="dxa"/>
              <w:bottom w:w="60" w:type="dxa"/>
              <w:right w:w="80" w:type="dxa"/>
            </w:tcMar>
            <w:vAlign w:val="center"/>
          </w:tcPr>
          <w:p w14:paraId="2536B6E0" w14:textId="77777777" w:rsidR="007A2869" w:rsidRDefault="00000000">
            <w:pPr>
              <w:jc w:val="right"/>
            </w:pPr>
            <w:r>
              <w:rPr>
                <w:sz w:val="20"/>
                <w:szCs w:val="20"/>
              </w:rPr>
              <w:t>+8.6pp</w:t>
            </w:r>
          </w:p>
        </w:tc>
      </w:tr>
      <w:tr w:rsidR="007A2869" w14:paraId="2536B6E9" w14:textId="77777777">
        <w:tblPrEx>
          <w:tblCellMar>
            <w:top w:w="0" w:type="dxa"/>
            <w:bottom w:w="0" w:type="dxa"/>
          </w:tblCellMar>
        </w:tblPrEx>
        <w:tc>
          <w:tcPr>
            <w:tcW w:w="2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E2" w14:textId="77777777" w:rsidR="007A2869" w:rsidRDefault="00000000">
            <w:r>
              <w:rPr>
                <w:sz w:val="20"/>
                <w:szCs w:val="20"/>
              </w:rPr>
              <w:t>Weighted CVaR</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E3" w14:textId="77777777" w:rsidR="007A2869" w:rsidRDefault="00000000">
            <w:pPr>
              <w:jc w:val="right"/>
            </w:pPr>
            <w:r>
              <w:rPr>
                <w:sz w:val="20"/>
                <w:szCs w:val="20"/>
              </w:rPr>
              <w:t>0.368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E4" w14:textId="77777777" w:rsidR="007A2869" w:rsidRDefault="00000000">
            <w:pPr>
              <w:jc w:val="right"/>
            </w:pPr>
            <w:r>
              <w:rPr>
                <w:sz w:val="20"/>
                <w:szCs w:val="20"/>
              </w:rPr>
              <w:t>0.378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E5" w14:textId="77777777" w:rsidR="007A2869" w:rsidRDefault="00000000">
            <w:pPr>
              <w:jc w:val="right"/>
            </w:pPr>
            <w:r>
              <w:rPr>
                <w:sz w:val="20"/>
                <w:szCs w:val="20"/>
              </w:rPr>
              <w:t>+0.010</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E6" w14:textId="77777777" w:rsidR="007A2869" w:rsidRDefault="00000000">
            <w:pPr>
              <w:jc w:val="right"/>
            </w:pPr>
            <w:r>
              <w:rPr>
                <w:sz w:val="20"/>
                <w:szCs w:val="20"/>
              </w:rPr>
              <w:t>-25.4%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E7" w14:textId="77777777" w:rsidR="007A2869" w:rsidRDefault="00000000">
            <w:pPr>
              <w:jc w:val="right"/>
            </w:pPr>
            <w:r>
              <w:rPr>
                <w:sz w:val="20"/>
                <w:szCs w:val="20"/>
              </w:rPr>
              <w:t>-16.3%</w:t>
            </w:r>
          </w:p>
        </w:tc>
        <w:tc>
          <w:tcPr>
            <w:tcW w:w="9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6E8" w14:textId="77777777" w:rsidR="007A2869" w:rsidRDefault="00000000">
            <w:pPr>
              <w:jc w:val="right"/>
            </w:pPr>
            <w:r>
              <w:rPr>
                <w:sz w:val="20"/>
                <w:szCs w:val="20"/>
              </w:rPr>
              <w:t>+9.1pp</w:t>
            </w:r>
          </w:p>
        </w:tc>
      </w:tr>
    </w:tbl>
    <w:p w14:paraId="2536B6EA" w14:textId="77777777" w:rsidR="007A2869" w:rsidRDefault="007A2869">
      <w:pPr>
        <w:spacing w:line="480" w:lineRule="auto"/>
      </w:pPr>
    </w:p>
    <w:p w14:paraId="2536B6EB" w14:textId="77777777" w:rsidR="007A2869" w:rsidRDefault="00000000">
      <w:pPr>
        <w:keepNext/>
        <w:spacing w:before="480" w:line="300" w:lineRule="auto"/>
      </w:pPr>
      <w:r>
        <w:rPr>
          <w:b/>
          <w:bCs/>
          <w:sz w:val="22"/>
          <w:szCs w:val="22"/>
        </w:rPr>
        <w:lastRenderedPageBreak/>
        <w:t>FIGURE 4</w:t>
      </w:r>
    </w:p>
    <w:p w14:paraId="2536B6EC" w14:textId="77777777" w:rsidR="007A2869" w:rsidRDefault="00000000">
      <w:pPr>
        <w:keepNext/>
        <w:spacing w:after="60" w:line="300" w:lineRule="auto"/>
      </w:pPr>
      <w:r>
        <w:rPr>
          <w:sz w:val="22"/>
          <w:szCs w:val="22"/>
        </w:rPr>
        <w:t>Average Portfolio Weights: Baseline vs. FI-Expanded Universe (Static CVaR)</w:t>
      </w:r>
    </w:p>
    <w:p w14:paraId="2536B6ED" w14:textId="77777777" w:rsidR="007A2869" w:rsidRDefault="00000000">
      <w:pPr>
        <w:keepNext/>
        <w:spacing w:before="60" w:after="120" w:line="276" w:lineRule="auto"/>
      </w:pPr>
      <w:r>
        <w:rPr>
          <w:sz w:val="18"/>
          <w:szCs w:val="18"/>
        </w:rPr>
        <w:t>Average asset-group weights of Static CVaR over the Panel B evaluation window (2010 to 2026). Baseline (left bars) and FI-expanded (right bars) universes. Groups: European Equities, Real Estate, Gold, Bloomberg Commodity, Brent, and Government Bonds (FI-expanded only). Weight data from walk-forward portfolio records averaged over 808 weekly observations.</w:t>
      </w:r>
    </w:p>
    <w:p w14:paraId="2536B6EE" w14:textId="77777777" w:rsidR="007A2869" w:rsidRDefault="00000000">
      <w:pPr>
        <w:spacing w:before="120" w:after="120"/>
        <w:jc w:val="center"/>
      </w:pPr>
      <w:r>
        <w:rPr>
          <w:noProof/>
        </w:rPr>
        <w:drawing>
          <wp:inline distT="0" distB="0" distL="0" distR="0" wp14:anchorId="2536B89E" wp14:editId="2536B89F">
            <wp:extent cx="5943600" cy="3114675"/>
            <wp:effectExtent l="0" t="0" r="0" b="0"/>
            <wp:docPr id="895979664" name="Figure 4 Average Weights Baseline vs FI-Expanded" descr="Figure 4 Average Weights Baseline vs FI-Expanded" title="Figure 4 Average Weights Baseline vs FI-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114675"/>
                    </a:xfrm>
                    <a:prstGeom prst="rect">
                      <a:avLst/>
                    </a:prstGeom>
                  </pic:spPr>
                </pic:pic>
              </a:graphicData>
            </a:graphic>
          </wp:inline>
        </w:drawing>
      </w:r>
    </w:p>
    <w:p w14:paraId="2536B6EF" w14:textId="77777777" w:rsidR="007A2869" w:rsidRDefault="007A2869">
      <w:pPr>
        <w:spacing w:line="480" w:lineRule="auto"/>
      </w:pPr>
    </w:p>
    <w:p w14:paraId="2536B6F0" w14:textId="77777777" w:rsidR="007A2869" w:rsidRDefault="00000000">
      <w:pPr>
        <w:keepNext/>
        <w:spacing w:before="480" w:line="300" w:lineRule="auto"/>
      </w:pPr>
      <w:r>
        <w:rPr>
          <w:b/>
          <w:bCs/>
          <w:sz w:val="22"/>
          <w:szCs w:val="22"/>
        </w:rPr>
        <w:lastRenderedPageBreak/>
        <w:t>FIGURE 5</w:t>
      </w:r>
    </w:p>
    <w:p w14:paraId="2536B6F1" w14:textId="77777777" w:rsidR="007A2869" w:rsidRDefault="00000000">
      <w:pPr>
        <w:keepNext/>
        <w:spacing w:after="60" w:line="300" w:lineRule="auto"/>
      </w:pPr>
      <w:r>
        <w:rPr>
          <w:sz w:val="22"/>
          <w:szCs w:val="22"/>
        </w:rPr>
        <w:t>Drawdown Comparison: Baseline vs. FI-Expanded Static CVaR (Panel B, 2010 to 2026)</w:t>
      </w:r>
    </w:p>
    <w:p w14:paraId="2536B6F2" w14:textId="77777777" w:rsidR="007A2869" w:rsidRDefault="00000000">
      <w:pPr>
        <w:keepNext/>
        <w:spacing w:before="60" w:after="120" w:line="276" w:lineRule="auto"/>
      </w:pPr>
      <w:r>
        <w:rPr>
          <w:sz w:val="18"/>
          <w:szCs w:val="18"/>
        </w:rPr>
        <w:t>Drawdown curves for Static CVaR under the 11-asset baseline and 14-asset FI-expanded universes. The FI-expanded portfolio holds approximately 73% in sovereign bonds; the 2022 ECB rate-hiking cycle generates a drawdown of approximately -14.6% for the FI-expanded strategy versus near-zero for the baseline (which benefits from commodity and gold hedges).</w:t>
      </w:r>
    </w:p>
    <w:p w14:paraId="2536B6F3" w14:textId="77777777" w:rsidR="007A2869" w:rsidRDefault="00000000">
      <w:pPr>
        <w:spacing w:before="120" w:after="120"/>
        <w:jc w:val="center"/>
      </w:pPr>
      <w:r>
        <w:rPr>
          <w:noProof/>
        </w:rPr>
        <w:drawing>
          <wp:inline distT="0" distB="0" distL="0" distR="0" wp14:anchorId="2536B8A0" wp14:editId="2536B8A1">
            <wp:extent cx="5943600" cy="2752725"/>
            <wp:effectExtent l="0" t="0" r="0" b="0"/>
            <wp:docPr id="1488675184" name="Figure 5 Drawdown Comparison Baseline vs FI-Expanded" descr="Figure 5 Drawdown Comparison Baseline vs FI-Expanded" title="Figure 5 Drawdown Comparison Baseline vs FI-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752725"/>
                    </a:xfrm>
                    <a:prstGeom prst="rect">
                      <a:avLst/>
                    </a:prstGeom>
                  </pic:spPr>
                </pic:pic>
              </a:graphicData>
            </a:graphic>
          </wp:inline>
        </w:drawing>
      </w:r>
    </w:p>
    <w:p w14:paraId="2536B6F4" w14:textId="77777777" w:rsidR="007A2869" w:rsidRDefault="007A2869">
      <w:pPr>
        <w:spacing w:line="480" w:lineRule="auto"/>
      </w:pPr>
    </w:p>
    <w:p w14:paraId="2536B6F5" w14:textId="77777777" w:rsidR="007A2869" w:rsidRDefault="00000000">
      <w:pPr>
        <w:spacing w:before="480" w:after="240" w:line="480" w:lineRule="auto"/>
        <w:jc w:val="center"/>
      </w:pPr>
      <w:r>
        <w:t>VII. ROBUSTNESS CHECKS</w:t>
      </w:r>
    </w:p>
    <w:p w14:paraId="2536B6F6" w14:textId="77777777" w:rsidR="007A2869" w:rsidRDefault="00000000">
      <w:pPr>
        <w:spacing w:line="480" w:lineRule="auto"/>
        <w:ind w:firstLine="720"/>
        <w:jc w:val="both"/>
      </w:pPr>
      <w:r>
        <w:t>We conduct five robustness checks, summarized in Table IX. Each is implemented as an independent experiment that replicates the Panel B pipeline with one modification.</w:t>
      </w:r>
    </w:p>
    <w:p w14:paraId="2536B6F7" w14:textId="77777777" w:rsidR="007A2869" w:rsidRDefault="007A2869">
      <w:pPr>
        <w:spacing w:line="480" w:lineRule="auto"/>
      </w:pPr>
    </w:p>
    <w:p w14:paraId="2536B6F8" w14:textId="77777777" w:rsidR="007A2869" w:rsidRDefault="00000000">
      <w:pPr>
        <w:spacing w:before="240" w:after="120" w:line="480" w:lineRule="auto"/>
      </w:pPr>
      <w:r>
        <w:rPr>
          <w:i/>
          <w:iCs/>
        </w:rPr>
        <w:t>A. HICP Publication-Lag Correction</w:t>
      </w:r>
    </w:p>
    <w:p w14:paraId="2536B6F9" w14:textId="77777777" w:rsidR="007A2869" w:rsidRDefault="00000000">
      <w:pPr>
        <w:spacing w:line="480" w:lineRule="auto"/>
        <w:ind w:firstLine="720"/>
        <w:jc w:val="both"/>
      </w:pPr>
      <w:r>
        <w:t xml:space="preserve">HICP inflation data is published approximately 17 days after the reference month ends. If LSEG's data timestamps reflect the reference period rather than the release date, the HMM feature </w:t>
      </w:r>
      <w:r>
        <w:lastRenderedPageBreak/>
        <w:t>z52_hicp_headline_core_gap contains up to 5 to 7 weeks of forward-looking information. We apply a 6-week lag to this feature before HMM estimation and rerun the full Panel B pipeline. Label agreement between baseline and lagged specifications is approximately 55%, confirming that HICP timing is a meaningful assumption. The Regime CVaR-A Sharpe changes by up to +0.068 relative to baseline, within the bootstrap confidence band of approximately +/-0.480. The main conclusion is unchanged.</w:t>
      </w:r>
    </w:p>
    <w:p w14:paraId="2536B6FA" w14:textId="77777777" w:rsidR="007A2869" w:rsidRDefault="007A2869">
      <w:pPr>
        <w:spacing w:line="480" w:lineRule="auto"/>
      </w:pPr>
    </w:p>
    <w:p w14:paraId="2536B6FB" w14:textId="77777777" w:rsidR="007A2869" w:rsidRDefault="00000000">
      <w:pPr>
        <w:spacing w:before="240" w:after="120" w:line="480" w:lineRule="auto"/>
      </w:pPr>
      <w:r>
        <w:rPr>
          <w:i/>
          <w:iCs/>
        </w:rPr>
        <w:t>B. ZEW Feature Swap</w:t>
      </w:r>
    </w:p>
    <w:p w14:paraId="2536B6FC" w14:textId="77777777" w:rsidR="007A2869" w:rsidRDefault="00000000">
      <w:pPr>
        <w:spacing w:line="480" w:lineRule="auto"/>
        <w:ind w:firstLine="720"/>
        <w:jc w:val="both"/>
      </w:pPr>
      <w:r>
        <w:t>VSTOXX is highly correlated with VIX (r approximately 0.90), potentially contributing limited marginal discriminatory power to the HMM. We test replacing z52_VSTOXX with z52_ZEW_Germany (ZEW forward expectations indicator; unconditional correlation with z52_ESI over the full weekly sample: r approximately 0.02). The ZEW-swap improves regime CVaR point estimates (Regime CVaR-A Sharpe: 0.365 to 0.483), but label agreement with the baseline is only 47.9%, and no HAC statistical test achieves significance. These results are exploratory and may reflect in-sample tailoring to the particular feature configuration. They are not used as the confirmatory baseline.</w:t>
      </w:r>
    </w:p>
    <w:p w14:paraId="2536B6FD" w14:textId="77777777" w:rsidR="007A2869" w:rsidRDefault="007A2869">
      <w:pPr>
        <w:spacing w:line="480" w:lineRule="auto"/>
      </w:pPr>
    </w:p>
    <w:p w14:paraId="2536B6FE" w14:textId="77777777" w:rsidR="007A2869" w:rsidRDefault="00000000">
      <w:pPr>
        <w:spacing w:before="240" w:after="120" w:line="480" w:lineRule="auto"/>
      </w:pPr>
      <w:r>
        <w:rPr>
          <w:i/>
          <w:iCs/>
        </w:rPr>
        <w:t>C. Rebalance Frequency</w:t>
      </w:r>
    </w:p>
    <w:p w14:paraId="2536B6FF" w14:textId="77777777" w:rsidR="007A2869" w:rsidRDefault="00000000">
      <w:pPr>
        <w:spacing w:line="480" w:lineRule="auto"/>
        <w:ind w:firstLine="720"/>
        <w:jc w:val="both"/>
      </w:pPr>
      <w:r>
        <w:t xml:space="preserve">We test rebalance frequencies of 1, 2, 4, 8, and 13 weeks. Lower rebalance frequency reduces turnover for regime-conditioned strategies; no frequency tested overturns Static CVaR as </w:t>
      </w:r>
      <w:r>
        <w:lastRenderedPageBreak/>
        <w:t>the most robust benchmark. The 4-week frequency used in the baseline is a reasonable compromise between responsiveness to regime changes and implementation cost.</w:t>
      </w:r>
    </w:p>
    <w:p w14:paraId="2536B700" w14:textId="77777777" w:rsidR="007A2869" w:rsidRDefault="007A2869">
      <w:pPr>
        <w:spacing w:line="480" w:lineRule="auto"/>
      </w:pPr>
    </w:p>
    <w:p w14:paraId="2536B701" w14:textId="77777777" w:rsidR="007A2869" w:rsidRDefault="00000000">
      <w:pPr>
        <w:spacing w:before="240" w:after="120" w:line="480" w:lineRule="auto"/>
      </w:pPr>
      <w:r>
        <w:rPr>
          <w:i/>
          <w:iCs/>
        </w:rPr>
        <w:t>D. Turnover Smoothing</w:t>
      </w:r>
    </w:p>
    <w:p w14:paraId="2536B702" w14:textId="77777777" w:rsidR="007A2869" w:rsidRDefault="00000000">
      <w:pPr>
        <w:spacing w:line="480" w:lineRule="auto"/>
        <w:ind w:firstLine="720"/>
        <w:jc w:val="both"/>
      </w:pPr>
      <w:r>
        <w:t>Exponential weight averaging (EWA) blending of consecutive portfolio solutions reduces regime-strategy turnover substantially and improves net Sharpe relative to the naive regime-filtered baseline, but does not surpass Static CVaR across the evaluated parameters.</w:t>
      </w:r>
    </w:p>
    <w:p w14:paraId="2536B703" w14:textId="77777777" w:rsidR="007A2869" w:rsidRDefault="007A2869">
      <w:pPr>
        <w:spacing w:line="480" w:lineRule="auto"/>
      </w:pPr>
    </w:p>
    <w:p w14:paraId="2536B704" w14:textId="77777777" w:rsidR="007A2869" w:rsidRDefault="00000000">
      <w:pPr>
        <w:spacing w:before="240" w:after="120" w:line="480" w:lineRule="auto"/>
      </w:pPr>
      <w:r>
        <w:rPr>
          <w:i/>
          <w:iCs/>
        </w:rPr>
        <w:t>E. Sovereign FI-Expanded Universe</w:t>
      </w:r>
    </w:p>
    <w:p w14:paraId="2536B705" w14:textId="77777777" w:rsidR="007A2869" w:rsidRDefault="00000000">
      <w:pPr>
        <w:spacing w:line="480" w:lineRule="auto"/>
        <w:ind w:firstLine="720"/>
        <w:jc w:val="both"/>
      </w:pPr>
      <w:r>
        <w:t>As reported in Section VI. The FI-expanded universe improves drawdown control universally, changes the defensive allocation channel from commodities to sovereign bonds, and reduces turnover for regime-filtered strategies. It introduces rate-shock sensitivity in the 2022 episode that is not present in the baseline. The main Panel B conclusion is unchanged.</w:t>
      </w:r>
    </w:p>
    <w:p w14:paraId="2536B706" w14:textId="77777777" w:rsidR="007A2869" w:rsidRDefault="007A2869">
      <w:pPr>
        <w:spacing w:line="480" w:lineRule="auto"/>
      </w:pPr>
    </w:p>
    <w:p w14:paraId="2536B707" w14:textId="77777777" w:rsidR="007A2869" w:rsidRDefault="00000000">
      <w:pPr>
        <w:keepNext/>
        <w:spacing w:before="480" w:line="300" w:lineRule="auto"/>
      </w:pPr>
      <w:r>
        <w:rPr>
          <w:b/>
          <w:bCs/>
          <w:sz w:val="22"/>
          <w:szCs w:val="22"/>
        </w:rPr>
        <w:lastRenderedPageBreak/>
        <w:t>TABLE IX</w:t>
      </w:r>
    </w:p>
    <w:p w14:paraId="2536B708" w14:textId="77777777" w:rsidR="007A2869" w:rsidRDefault="00000000">
      <w:pPr>
        <w:keepNext/>
        <w:spacing w:after="60" w:line="300" w:lineRule="auto"/>
      </w:pPr>
      <w:r>
        <w:rPr>
          <w:sz w:val="22"/>
          <w:szCs w:val="22"/>
        </w:rPr>
        <w:t>Robustness Check Summary</w:t>
      </w:r>
    </w:p>
    <w:p w14:paraId="2536B709" w14:textId="77777777" w:rsidR="007A2869" w:rsidRDefault="00000000">
      <w:pPr>
        <w:keepNext/>
        <w:spacing w:before="60" w:after="120" w:line="276" w:lineRule="auto"/>
      </w:pPr>
      <w:r>
        <w:rPr>
          <w:sz w:val="18"/>
          <w:szCs w:val="18"/>
        </w:rPr>
        <w:t>All checks use the Panel B evaluation window (2010 to 2026, 808 weeks) unless noted. Key metric is net Sharpe at 10 bps TC for Regime CVaR-A. Delta Sharpe = change vs. baseline specification. "Main conclusion" refers to Static CVaR remaining the most robust benchmark across all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1600"/>
        <w:gridCol w:w="3160"/>
      </w:tblGrid>
      <w:tr w:rsidR="007A2869" w14:paraId="2536B70E" w14:textId="77777777">
        <w:tblPrEx>
          <w:tblCellMar>
            <w:top w:w="0" w:type="dxa"/>
            <w:bottom w:w="0" w:type="dxa"/>
          </w:tblCellMar>
        </w:tblPrEx>
        <w:trPr>
          <w:tblHeader/>
        </w:trPr>
        <w:tc>
          <w:tcPr>
            <w:tcW w:w="17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0A" w14:textId="77777777" w:rsidR="007A2869" w:rsidRDefault="00000000">
            <w:r>
              <w:rPr>
                <w:b/>
                <w:bCs/>
                <w:sz w:val="18"/>
                <w:szCs w:val="18"/>
              </w:rPr>
              <w:t>Check</w:t>
            </w:r>
          </w:p>
        </w:tc>
        <w:tc>
          <w:tcPr>
            <w:tcW w:w="2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0B" w14:textId="77777777" w:rsidR="007A2869" w:rsidRDefault="00000000">
            <w:r>
              <w:rPr>
                <w:b/>
                <w:bCs/>
                <w:sz w:val="18"/>
                <w:szCs w:val="18"/>
              </w:rPr>
              <w:t>Key Finding</w:t>
            </w:r>
          </w:p>
        </w:tc>
        <w:tc>
          <w:tcPr>
            <w:tcW w:w="16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0C" w14:textId="77777777" w:rsidR="007A2869" w:rsidRDefault="00000000">
            <w:r>
              <w:rPr>
                <w:b/>
                <w:bCs/>
                <w:sz w:val="18"/>
                <w:szCs w:val="18"/>
              </w:rPr>
              <w:t>Magnitude</w:t>
            </w:r>
          </w:p>
        </w:tc>
        <w:tc>
          <w:tcPr>
            <w:tcW w:w="31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0D" w14:textId="77777777" w:rsidR="007A2869" w:rsidRDefault="00000000">
            <w:r>
              <w:rPr>
                <w:b/>
                <w:bCs/>
                <w:sz w:val="18"/>
                <w:szCs w:val="18"/>
              </w:rPr>
              <w:t>Conclusion</w:t>
            </w:r>
          </w:p>
        </w:tc>
      </w:tr>
      <w:tr w:rsidR="007A2869" w14:paraId="2536B713" w14:textId="77777777">
        <w:tblPrEx>
          <w:tblCellMar>
            <w:top w:w="0" w:type="dxa"/>
            <w:bottom w:w="0" w:type="dxa"/>
          </w:tblCellMar>
        </w:tblPrEx>
        <w:tc>
          <w:tcPr>
            <w:tcW w:w="1700" w:type="dxa"/>
            <w:tcBorders>
              <w:top w:val="nil"/>
              <w:left w:val="nil"/>
              <w:bottom w:val="nil"/>
              <w:right w:val="nil"/>
            </w:tcBorders>
            <w:tcMar>
              <w:top w:w="60" w:type="dxa"/>
              <w:left w:w="80" w:type="dxa"/>
              <w:bottom w:w="60" w:type="dxa"/>
              <w:right w:w="80" w:type="dxa"/>
            </w:tcMar>
            <w:vAlign w:val="center"/>
          </w:tcPr>
          <w:p w14:paraId="2536B70F" w14:textId="77777777" w:rsidR="007A2869" w:rsidRDefault="00000000">
            <w:r>
              <w:rPr>
                <w:sz w:val="18"/>
                <w:szCs w:val="18"/>
              </w:rPr>
              <w:t>HICP lag 6 weeks</w:t>
            </w:r>
          </w:p>
        </w:tc>
        <w:tc>
          <w:tcPr>
            <w:tcW w:w="2900" w:type="dxa"/>
            <w:tcBorders>
              <w:top w:val="nil"/>
              <w:left w:val="nil"/>
              <w:bottom w:val="nil"/>
              <w:right w:val="nil"/>
            </w:tcBorders>
            <w:tcMar>
              <w:top w:w="60" w:type="dxa"/>
              <w:left w:w="80" w:type="dxa"/>
              <w:bottom w:w="60" w:type="dxa"/>
              <w:right w:w="80" w:type="dxa"/>
            </w:tcMar>
            <w:vAlign w:val="center"/>
          </w:tcPr>
          <w:p w14:paraId="2536B710" w14:textId="77777777" w:rsidR="007A2869" w:rsidRDefault="00000000">
            <w:r>
              <w:rPr>
                <w:sz w:val="18"/>
                <w:szCs w:val="18"/>
              </w:rPr>
              <w:t>Label agreement ~55%; Regime CVaR-A Sharpe changes up to +0.068</w:t>
            </w:r>
          </w:p>
        </w:tc>
        <w:tc>
          <w:tcPr>
            <w:tcW w:w="1600" w:type="dxa"/>
            <w:tcBorders>
              <w:top w:val="nil"/>
              <w:left w:val="nil"/>
              <w:bottom w:val="nil"/>
              <w:right w:val="nil"/>
            </w:tcBorders>
            <w:tcMar>
              <w:top w:w="60" w:type="dxa"/>
              <w:left w:w="80" w:type="dxa"/>
              <w:bottom w:w="60" w:type="dxa"/>
              <w:right w:w="80" w:type="dxa"/>
            </w:tcMar>
            <w:vAlign w:val="center"/>
          </w:tcPr>
          <w:p w14:paraId="2536B711" w14:textId="77777777" w:rsidR="007A2869" w:rsidRDefault="00000000">
            <w:r>
              <w:rPr>
                <w:sz w:val="18"/>
                <w:szCs w:val="18"/>
              </w:rPr>
              <w:t>Within bootstrap noise</w:t>
            </w:r>
          </w:p>
        </w:tc>
        <w:tc>
          <w:tcPr>
            <w:tcW w:w="3160" w:type="dxa"/>
            <w:tcBorders>
              <w:top w:val="nil"/>
              <w:left w:val="nil"/>
              <w:bottom w:val="nil"/>
              <w:right w:val="nil"/>
            </w:tcBorders>
            <w:tcMar>
              <w:top w:w="60" w:type="dxa"/>
              <w:left w:w="80" w:type="dxa"/>
              <w:bottom w:w="60" w:type="dxa"/>
              <w:right w:w="80" w:type="dxa"/>
            </w:tcMar>
            <w:vAlign w:val="center"/>
          </w:tcPr>
          <w:p w14:paraId="2536B712" w14:textId="77777777" w:rsidR="007A2869" w:rsidRDefault="00000000">
            <w:r>
              <w:rPr>
                <w:sz w:val="18"/>
                <w:szCs w:val="18"/>
              </w:rPr>
              <w:t>Unchanged</w:t>
            </w:r>
          </w:p>
        </w:tc>
      </w:tr>
      <w:tr w:rsidR="007A2869" w14:paraId="2536B718" w14:textId="77777777">
        <w:tblPrEx>
          <w:tblCellMar>
            <w:top w:w="0" w:type="dxa"/>
            <w:bottom w:w="0" w:type="dxa"/>
          </w:tblCellMar>
        </w:tblPrEx>
        <w:tc>
          <w:tcPr>
            <w:tcW w:w="1700" w:type="dxa"/>
            <w:tcBorders>
              <w:top w:val="nil"/>
              <w:left w:val="nil"/>
              <w:bottom w:val="nil"/>
              <w:right w:val="nil"/>
            </w:tcBorders>
            <w:tcMar>
              <w:top w:w="60" w:type="dxa"/>
              <w:left w:w="80" w:type="dxa"/>
              <w:bottom w:w="60" w:type="dxa"/>
              <w:right w:w="80" w:type="dxa"/>
            </w:tcMar>
            <w:vAlign w:val="center"/>
          </w:tcPr>
          <w:p w14:paraId="2536B714" w14:textId="77777777" w:rsidR="007A2869" w:rsidRDefault="00000000">
            <w:r>
              <w:rPr>
                <w:sz w:val="18"/>
                <w:szCs w:val="18"/>
              </w:rPr>
              <w:t>ZEW feature swap</w:t>
            </w:r>
          </w:p>
        </w:tc>
        <w:tc>
          <w:tcPr>
            <w:tcW w:w="2900" w:type="dxa"/>
            <w:tcBorders>
              <w:top w:val="nil"/>
              <w:left w:val="nil"/>
              <w:bottom w:val="nil"/>
              <w:right w:val="nil"/>
            </w:tcBorders>
            <w:tcMar>
              <w:top w:w="60" w:type="dxa"/>
              <w:left w:w="80" w:type="dxa"/>
              <w:bottom w:w="60" w:type="dxa"/>
              <w:right w:w="80" w:type="dxa"/>
            </w:tcMar>
            <w:vAlign w:val="center"/>
          </w:tcPr>
          <w:p w14:paraId="2536B715" w14:textId="77777777" w:rsidR="007A2869" w:rsidRDefault="00000000">
            <w:r>
              <w:rPr>
                <w:sz w:val="18"/>
                <w:szCs w:val="18"/>
              </w:rPr>
              <w:t>Regime CVaR-A Sharpe: 0.365 to 0.483 (+0.118); label agreement 47.9%; exploratory</w:t>
            </w:r>
          </w:p>
        </w:tc>
        <w:tc>
          <w:tcPr>
            <w:tcW w:w="1600" w:type="dxa"/>
            <w:tcBorders>
              <w:top w:val="nil"/>
              <w:left w:val="nil"/>
              <w:bottom w:val="nil"/>
              <w:right w:val="nil"/>
            </w:tcBorders>
            <w:tcMar>
              <w:top w:w="60" w:type="dxa"/>
              <w:left w:w="80" w:type="dxa"/>
              <w:bottom w:w="60" w:type="dxa"/>
              <w:right w:w="80" w:type="dxa"/>
            </w:tcMar>
            <w:vAlign w:val="center"/>
          </w:tcPr>
          <w:p w14:paraId="2536B716" w14:textId="77777777" w:rsidR="007A2869" w:rsidRDefault="00000000">
            <w:r>
              <w:rPr>
                <w:sz w:val="18"/>
                <w:szCs w:val="18"/>
              </w:rPr>
              <w:t>No test significant</w:t>
            </w:r>
          </w:p>
        </w:tc>
        <w:tc>
          <w:tcPr>
            <w:tcW w:w="3160" w:type="dxa"/>
            <w:tcBorders>
              <w:top w:val="nil"/>
              <w:left w:val="nil"/>
              <w:bottom w:val="nil"/>
              <w:right w:val="nil"/>
            </w:tcBorders>
            <w:tcMar>
              <w:top w:w="60" w:type="dxa"/>
              <w:left w:w="80" w:type="dxa"/>
              <w:bottom w:w="60" w:type="dxa"/>
              <w:right w:w="80" w:type="dxa"/>
            </w:tcMar>
            <w:vAlign w:val="center"/>
          </w:tcPr>
          <w:p w14:paraId="2536B717" w14:textId="77777777" w:rsidR="007A2869" w:rsidRDefault="00000000">
            <w:r>
              <w:rPr>
                <w:sz w:val="18"/>
                <w:szCs w:val="18"/>
              </w:rPr>
              <w:t>Unchanged</w:t>
            </w:r>
          </w:p>
        </w:tc>
      </w:tr>
      <w:tr w:rsidR="007A2869" w14:paraId="2536B71D" w14:textId="77777777">
        <w:tblPrEx>
          <w:tblCellMar>
            <w:top w:w="0" w:type="dxa"/>
            <w:bottom w:w="0" w:type="dxa"/>
          </w:tblCellMar>
        </w:tblPrEx>
        <w:tc>
          <w:tcPr>
            <w:tcW w:w="1700" w:type="dxa"/>
            <w:tcBorders>
              <w:top w:val="nil"/>
              <w:left w:val="nil"/>
              <w:bottom w:val="nil"/>
              <w:right w:val="nil"/>
            </w:tcBorders>
            <w:tcMar>
              <w:top w:w="60" w:type="dxa"/>
              <w:left w:w="80" w:type="dxa"/>
              <w:bottom w:w="60" w:type="dxa"/>
              <w:right w:w="80" w:type="dxa"/>
            </w:tcMar>
            <w:vAlign w:val="center"/>
          </w:tcPr>
          <w:p w14:paraId="2536B719" w14:textId="77777777" w:rsidR="007A2869" w:rsidRDefault="00000000">
            <w:r>
              <w:rPr>
                <w:sz w:val="18"/>
                <w:szCs w:val="18"/>
              </w:rPr>
              <w:t>Rebalance frequency</w:t>
            </w:r>
          </w:p>
        </w:tc>
        <w:tc>
          <w:tcPr>
            <w:tcW w:w="2900" w:type="dxa"/>
            <w:tcBorders>
              <w:top w:val="nil"/>
              <w:left w:val="nil"/>
              <w:bottom w:val="nil"/>
              <w:right w:val="nil"/>
            </w:tcBorders>
            <w:tcMar>
              <w:top w:w="60" w:type="dxa"/>
              <w:left w:w="80" w:type="dxa"/>
              <w:bottom w:w="60" w:type="dxa"/>
              <w:right w:w="80" w:type="dxa"/>
            </w:tcMar>
            <w:vAlign w:val="center"/>
          </w:tcPr>
          <w:p w14:paraId="2536B71A" w14:textId="77777777" w:rsidR="007A2869" w:rsidRDefault="00000000">
            <w:r>
              <w:rPr>
                <w:sz w:val="18"/>
                <w:szCs w:val="18"/>
              </w:rPr>
              <w:t>Lower frequency reduces turnover; 4-week baseline reasonable</w:t>
            </w:r>
          </w:p>
        </w:tc>
        <w:tc>
          <w:tcPr>
            <w:tcW w:w="1600" w:type="dxa"/>
            <w:tcBorders>
              <w:top w:val="nil"/>
              <w:left w:val="nil"/>
              <w:bottom w:val="nil"/>
              <w:right w:val="nil"/>
            </w:tcBorders>
            <w:tcMar>
              <w:top w:w="60" w:type="dxa"/>
              <w:left w:w="80" w:type="dxa"/>
              <w:bottom w:w="60" w:type="dxa"/>
              <w:right w:w="80" w:type="dxa"/>
            </w:tcMar>
            <w:vAlign w:val="center"/>
          </w:tcPr>
          <w:p w14:paraId="2536B71B" w14:textId="77777777" w:rsidR="007A2869" w:rsidRDefault="00000000">
            <w:r>
              <w:rPr>
                <w:sz w:val="18"/>
                <w:szCs w:val="18"/>
              </w:rPr>
              <w:t>No cadence overturns Static CVaR</w:t>
            </w:r>
          </w:p>
        </w:tc>
        <w:tc>
          <w:tcPr>
            <w:tcW w:w="3160" w:type="dxa"/>
            <w:tcBorders>
              <w:top w:val="nil"/>
              <w:left w:val="nil"/>
              <w:bottom w:val="nil"/>
              <w:right w:val="nil"/>
            </w:tcBorders>
            <w:tcMar>
              <w:top w:w="60" w:type="dxa"/>
              <w:left w:w="80" w:type="dxa"/>
              <w:bottom w:w="60" w:type="dxa"/>
              <w:right w:w="80" w:type="dxa"/>
            </w:tcMar>
            <w:vAlign w:val="center"/>
          </w:tcPr>
          <w:p w14:paraId="2536B71C" w14:textId="77777777" w:rsidR="007A2869" w:rsidRDefault="00000000">
            <w:r>
              <w:rPr>
                <w:sz w:val="18"/>
                <w:szCs w:val="18"/>
              </w:rPr>
              <w:t>Unchanged</w:t>
            </w:r>
          </w:p>
        </w:tc>
      </w:tr>
      <w:tr w:rsidR="007A2869" w14:paraId="2536B722" w14:textId="77777777">
        <w:tblPrEx>
          <w:tblCellMar>
            <w:top w:w="0" w:type="dxa"/>
            <w:bottom w:w="0" w:type="dxa"/>
          </w:tblCellMar>
        </w:tblPrEx>
        <w:tc>
          <w:tcPr>
            <w:tcW w:w="1700" w:type="dxa"/>
            <w:tcBorders>
              <w:top w:val="nil"/>
              <w:left w:val="nil"/>
              <w:bottom w:val="nil"/>
              <w:right w:val="nil"/>
            </w:tcBorders>
            <w:tcMar>
              <w:top w:w="60" w:type="dxa"/>
              <w:left w:w="80" w:type="dxa"/>
              <w:bottom w:w="60" w:type="dxa"/>
              <w:right w:w="80" w:type="dxa"/>
            </w:tcMar>
            <w:vAlign w:val="center"/>
          </w:tcPr>
          <w:p w14:paraId="2536B71E" w14:textId="77777777" w:rsidR="007A2869" w:rsidRDefault="00000000">
            <w:r>
              <w:rPr>
                <w:sz w:val="18"/>
                <w:szCs w:val="18"/>
              </w:rPr>
              <w:t>Turnover smoothing (EWA)</w:t>
            </w:r>
          </w:p>
        </w:tc>
        <w:tc>
          <w:tcPr>
            <w:tcW w:w="2900" w:type="dxa"/>
            <w:tcBorders>
              <w:top w:val="nil"/>
              <w:left w:val="nil"/>
              <w:bottom w:val="nil"/>
              <w:right w:val="nil"/>
            </w:tcBorders>
            <w:tcMar>
              <w:top w:w="60" w:type="dxa"/>
              <w:left w:w="80" w:type="dxa"/>
              <w:bottom w:w="60" w:type="dxa"/>
              <w:right w:w="80" w:type="dxa"/>
            </w:tcMar>
            <w:vAlign w:val="center"/>
          </w:tcPr>
          <w:p w14:paraId="2536B71F" w14:textId="77777777" w:rsidR="007A2869" w:rsidRDefault="00000000">
            <w:r>
              <w:rPr>
                <w:sz w:val="18"/>
                <w:szCs w:val="18"/>
              </w:rPr>
              <w:t>EWA blending reduces turnover ~30%; improves net Sharpe vs. naive regime</w:t>
            </w:r>
          </w:p>
        </w:tc>
        <w:tc>
          <w:tcPr>
            <w:tcW w:w="1600" w:type="dxa"/>
            <w:tcBorders>
              <w:top w:val="nil"/>
              <w:left w:val="nil"/>
              <w:bottom w:val="nil"/>
              <w:right w:val="nil"/>
            </w:tcBorders>
            <w:tcMar>
              <w:top w:w="60" w:type="dxa"/>
              <w:left w:w="80" w:type="dxa"/>
              <w:bottom w:w="60" w:type="dxa"/>
              <w:right w:w="80" w:type="dxa"/>
            </w:tcMar>
            <w:vAlign w:val="center"/>
          </w:tcPr>
          <w:p w14:paraId="2536B720" w14:textId="77777777" w:rsidR="007A2869" w:rsidRDefault="00000000">
            <w:r>
              <w:rPr>
                <w:sz w:val="18"/>
                <w:szCs w:val="18"/>
              </w:rPr>
              <w:t>Does not surpass Static CVaR</w:t>
            </w:r>
          </w:p>
        </w:tc>
        <w:tc>
          <w:tcPr>
            <w:tcW w:w="3160" w:type="dxa"/>
            <w:tcBorders>
              <w:top w:val="nil"/>
              <w:left w:val="nil"/>
              <w:bottom w:val="nil"/>
              <w:right w:val="nil"/>
            </w:tcBorders>
            <w:tcMar>
              <w:top w:w="60" w:type="dxa"/>
              <w:left w:w="80" w:type="dxa"/>
              <w:bottom w:w="60" w:type="dxa"/>
              <w:right w:w="80" w:type="dxa"/>
            </w:tcMar>
            <w:vAlign w:val="center"/>
          </w:tcPr>
          <w:p w14:paraId="2536B721" w14:textId="77777777" w:rsidR="007A2869" w:rsidRDefault="00000000">
            <w:r>
              <w:rPr>
                <w:sz w:val="18"/>
                <w:szCs w:val="18"/>
              </w:rPr>
              <w:t>Unchanged</w:t>
            </w:r>
          </w:p>
        </w:tc>
      </w:tr>
      <w:tr w:rsidR="007A2869" w14:paraId="2536B727" w14:textId="77777777">
        <w:tblPrEx>
          <w:tblCellMar>
            <w:top w:w="0" w:type="dxa"/>
            <w:bottom w:w="0" w:type="dxa"/>
          </w:tblCellMar>
        </w:tblPrEx>
        <w:tc>
          <w:tcPr>
            <w:tcW w:w="17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23" w14:textId="77777777" w:rsidR="007A2869" w:rsidRDefault="00000000">
            <w:r>
              <w:rPr>
                <w:sz w:val="18"/>
                <w:szCs w:val="18"/>
              </w:rPr>
              <w:t>FI-expanded universe</w:t>
            </w:r>
          </w:p>
        </w:tc>
        <w:tc>
          <w:tcPr>
            <w:tcW w:w="2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24" w14:textId="77777777" w:rsidR="007A2869" w:rsidRDefault="00000000">
            <w:r>
              <w:rPr>
                <w:sz w:val="18"/>
                <w:szCs w:val="18"/>
              </w:rPr>
              <w:t>Panel A Sharpe +0.034; Panel B -0.026; MaxDD improved in both panels; 2022 rate-shock adverse</w:t>
            </w:r>
          </w:p>
        </w:tc>
        <w:tc>
          <w:tcPr>
            <w:tcW w:w="16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25" w14:textId="77777777" w:rsidR="007A2869" w:rsidRDefault="00000000">
            <w:r>
              <w:rPr>
                <w:sz w:val="18"/>
                <w:szCs w:val="18"/>
              </w:rPr>
              <w:t>-10% to -13% portfolio loss in 2022</w:t>
            </w:r>
          </w:p>
        </w:tc>
        <w:tc>
          <w:tcPr>
            <w:tcW w:w="31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26" w14:textId="77777777" w:rsidR="007A2869" w:rsidRDefault="00000000">
            <w:r>
              <w:rPr>
                <w:sz w:val="18"/>
                <w:szCs w:val="18"/>
              </w:rPr>
              <w:t>Unchanged</w:t>
            </w:r>
          </w:p>
        </w:tc>
      </w:tr>
    </w:tbl>
    <w:p w14:paraId="2536B728" w14:textId="77777777" w:rsidR="007A2869" w:rsidRDefault="007A2869">
      <w:pPr>
        <w:spacing w:line="480" w:lineRule="auto"/>
      </w:pPr>
    </w:p>
    <w:p w14:paraId="2536B729" w14:textId="77777777" w:rsidR="007A2869" w:rsidRDefault="00000000">
      <w:pPr>
        <w:spacing w:before="480" w:after="240" w:line="480" w:lineRule="auto"/>
        <w:jc w:val="center"/>
      </w:pPr>
      <w:r>
        <w:t>VIII. DISCUSSION</w:t>
      </w:r>
    </w:p>
    <w:p w14:paraId="2536B72A" w14:textId="77777777" w:rsidR="007A2869" w:rsidRDefault="00000000">
      <w:pPr>
        <w:spacing w:before="240" w:after="120" w:line="480" w:lineRule="auto"/>
      </w:pPr>
      <w:r>
        <w:rPr>
          <w:i/>
          <w:iCs/>
        </w:rPr>
        <w:t>A. Why Does Regime Conditioning Fail to Improve Performance?</w:t>
      </w:r>
    </w:p>
    <w:p w14:paraId="2536B72B" w14:textId="77777777" w:rsidR="007A2869" w:rsidRDefault="00000000">
      <w:pPr>
        <w:spacing w:line="480" w:lineRule="auto"/>
        <w:ind w:firstLine="720"/>
        <w:jc w:val="both"/>
      </w:pPr>
      <w:r>
        <w:t xml:space="preserve">Our results admit several non-exclusive interpretations. First, the HMM may identify statistically real regime states that are nonetheless not exploitable at the portfolio construction frequency. If state transitions are unpredictable at weekly or monthly horizons, even if the states themselves are identifiable in retrospect, then conditioning portfolio weights on current-regime labels introduces noise rather than signal. The label agreement of approximately 55% under HICP specification changes is consistent with this view: the regime assignments are sensitive to feature </w:t>
      </w:r>
      <w:r>
        <w:lastRenderedPageBreak/>
        <w:t>choices in ways that likely reflect noise in the conditioning variables rather than genuine economic state information.</w:t>
      </w:r>
    </w:p>
    <w:p w14:paraId="2536B72C" w14:textId="77777777" w:rsidR="007A2869" w:rsidRDefault="007A2869">
      <w:pPr>
        <w:spacing w:line="480" w:lineRule="auto"/>
      </w:pPr>
    </w:p>
    <w:p w14:paraId="2536B72D" w14:textId="77777777" w:rsidR="007A2869" w:rsidRDefault="00000000">
      <w:pPr>
        <w:spacing w:line="480" w:lineRule="auto"/>
        <w:ind w:firstLine="720"/>
        <w:jc w:val="both"/>
      </w:pPr>
      <w:r>
        <w:t>Second, the CVaR LP under scenario restriction is a fundamentally different optimization problem from the full-window LP. Restricting to 30 to 80 regime-matched scenarios replaces a well-conditioned optimization (260 scenarios) with a more fragile problem that is sensitive to the tail structure of a small, historically idiosyncratic period. In standard LP theory, solution quality degrades as the constraint set becomes tighter relative to the feasible space. Here, the small scenario count means the CVaR tail average is estimated from a handful of observations, amplifying the influence of any single historical extreme event. This estimation error in the CVaR objective propagates directly to higher in-sample overfitting and correspondingly worse out-of-sample performance.</w:t>
      </w:r>
    </w:p>
    <w:p w14:paraId="2536B72E" w14:textId="77777777" w:rsidR="007A2869" w:rsidRDefault="007A2869">
      <w:pPr>
        <w:spacing w:line="480" w:lineRule="auto"/>
      </w:pPr>
    </w:p>
    <w:p w14:paraId="2536B72F" w14:textId="77777777" w:rsidR="007A2869" w:rsidRDefault="00000000">
      <w:pPr>
        <w:spacing w:line="480" w:lineRule="auto"/>
        <w:ind w:firstLine="720"/>
        <w:jc w:val="both"/>
      </w:pPr>
      <w:r>
        <w:t>Third, and most practically, regime transitions generate portfolio reconstitution that is not compensated by return improvements. The HMM assigns a regime label each week, and when the label changes, the entire scenario set changes. This is equivalent to a structural break in the LP solution at each transition, producing the observed tenfold turnover relative to the static benchmark. Unlike momentum or factor signals, where the predictive signal and the trading cost occur on the same asset, here the regime signal is estimated on macro features that are imperfectly related to the assets being traded. The mismatch between signal precision and rebalancing frequency is a structural feature of the HMM-CVaR combination, not an implementation artifact.</w:t>
      </w:r>
    </w:p>
    <w:p w14:paraId="2536B730" w14:textId="77777777" w:rsidR="007A2869" w:rsidRDefault="007A2869">
      <w:pPr>
        <w:spacing w:line="480" w:lineRule="auto"/>
      </w:pPr>
    </w:p>
    <w:p w14:paraId="2536B731" w14:textId="77777777" w:rsidR="007A2869" w:rsidRDefault="00000000">
      <w:pPr>
        <w:spacing w:line="480" w:lineRule="auto"/>
        <w:ind w:firstLine="720"/>
        <w:jc w:val="both"/>
      </w:pPr>
      <w:r>
        <w:t>A fourth mechanism concerns the interaction between HMM label uncertainty and LP sensitivity. Walk-forward HMM estimation produces posterior state probabilities that are often diffuse: in moderate market conditions, states 1 and 2 may each receive 30% to 40% posterior mass. A hard-assignment rule (taking the argmax state) discards this uncertainty, treating a 0.4 vs. 0.35 vs. 0.25 posterior as equivalent to certainty. Weighted CVaR avoids this by soft-weighting scenarios, yet still fails to outperform the static benchmark, suggesting that the issue is not the hard-assignment rule per se but the underlying signal content of the posterior.</w:t>
      </w:r>
    </w:p>
    <w:p w14:paraId="2536B732" w14:textId="77777777" w:rsidR="007A2869" w:rsidRDefault="007A2869">
      <w:pPr>
        <w:spacing w:line="480" w:lineRule="auto"/>
      </w:pPr>
    </w:p>
    <w:p w14:paraId="2536B733" w14:textId="77777777" w:rsidR="007A2869" w:rsidRDefault="00000000">
      <w:pPr>
        <w:keepNext/>
        <w:spacing w:before="480" w:line="300" w:lineRule="auto"/>
      </w:pPr>
      <w:r>
        <w:rPr>
          <w:b/>
          <w:bCs/>
          <w:sz w:val="22"/>
          <w:szCs w:val="22"/>
        </w:rPr>
        <w:t>TABLE X</w:t>
      </w:r>
    </w:p>
    <w:p w14:paraId="2536B734" w14:textId="77777777" w:rsidR="007A2869" w:rsidRDefault="00000000">
      <w:pPr>
        <w:keepNext/>
        <w:spacing w:after="60" w:line="300" w:lineRule="auto"/>
      </w:pPr>
      <w:r>
        <w:rPr>
          <w:sz w:val="22"/>
          <w:szCs w:val="22"/>
        </w:rPr>
        <w:t>Why Regime CVaR-A Fails: Mechanism Summary</w:t>
      </w:r>
    </w:p>
    <w:p w14:paraId="2536B735" w14:textId="77777777" w:rsidR="007A2869" w:rsidRDefault="00000000">
      <w:pPr>
        <w:keepNext/>
        <w:spacing w:before="60" w:after="120" w:line="276" w:lineRule="auto"/>
      </w:pPr>
      <w:r>
        <w:rPr>
          <w:sz w:val="18"/>
          <w:szCs w:val="18"/>
        </w:rPr>
        <w:t>The table summarises the six mechanisms through which naive regime-conditional CVaR underperforms the static benchmark, the empirical signature of each mechanism in this paper, the implementation fix pursued here, and the remaining performance gap after the fix. Ann.TO = annualized one-way turnover. Net SR = net Sharpe ratio at 10 bps. All strategy comparisons are on the Panel B evaluation window (2010 to 2026, 808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700"/>
        <w:gridCol w:w="1800"/>
        <w:gridCol w:w="1860"/>
      </w:tblGrid>
      <w:tr w:rsidR="007A2869" w14:paraId="2536B73B" w14:textId="77777777">
        <w:tblPrEx>
          <w:tblCellMar>
            <w:top w:w="0" w:type="dxa"/>
            <w:bottom w:w="0" w:type="dxa"/>
          </w:tblCellMar>
        </w:tblPrEx>
        <w:trPr>
          <w:tblHeader/>
        </w:trPr>
        <w:tc>
          <w:tcPr>
            <w:tcW w:w="22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36" w14:textId="77777777" w:rsidR="007A2869" w:rsidRDefault="00000000">
            <w:r>
              <w:rPr>
                <w:b/>
                <w:bCs/>
                <w:sz w:val="20"/>
                <w:szCs w:val="20"/>
              </w:rPr>
              <w:t>Mechanism</w:t>
            </w:r>
          </w:p>
        </w:tc>
        <w:tc>
          <w:tcPr>
            <w:tcW w:w="1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37" w14:textId="77777777" w:rsidR="007A2869" w:rsidRDefault="00000000">
            <w:r>
              <w:rPr>
                <w:b/>
                <w:bCs/>
                <w:sz w:val="20"/>
                <w:szCs w:val="20"/>
              </w:rPr>
              <w:t>Root Cause</w:t>
            </w:r>
          </w:p>
        </w:tc>
        <w:tc>
          <w:tcPr>
            <w:tcW w:w="17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38" w14:textId="77777777" w:rsidR="007A2869" w:rsidRDefault="00000000">
            <w:r>
              <w:rPr>
                <w:b/>
                <w:bCs/>
                <w:sz w:val="20"/>
                <w:szCs w:val="20"/>
              </w:rPr>
              <w:t>Empirical Signature</w:t>
            </w:r>
          </w:p>
        </w:tc>
        <w:tc>
          <w:tcPr>
            <w:tcW w:w="1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39" w14:textId="77777777" w:rsidR="007A2869" w:rsidRDefault="00000000">
            <w:r>
              <w:rPr>
                <w:b/>
                <w:bCs/>
                <w:sz w:val="20"/>
                <w:szCs w:val="20"/>
              </w:rPr>
              <w:t>Implementation Fix</w:t>
            </w:r>
          </w:p>
        </w:tc>
        <w:tc>
          <w:tcPr>
            <w:tcW w:w="18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3A" w14:textId="77777777" w:rsidR="007A2869" w:rsidRDefault="00000000">
            <w:r>
              <w:rPr>
                <w:b/>
                <w:bCs/>
                <w:sz w:val="20"/>
                <w:szCs w:val="20"/>
              </w:rPr>
              <w:t>Remaining Gap</w:t>
            </w:r>
          </w:p>
        </w:tc>
      </w:tr>
      <w:tr w:rsidR="007A2869" w14:paraId="2536B741"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2536B73C" w14:textId="77777777" w:rsidR="007A2869" w:rsidRDefault="00000000">
            <w:r>
              <w:rPr>
                <w:sz w:val="20"/>
                <w:szCs w:val="20"/>
              </w:rPr>
              <w:t>LP scenario discontinuity</w:t>
            </w:r>
          </w:p>
        </w:tc>
        <w:tc>
          <w:tcPr>
            <w:tcW w:w="1800" w:type="dxa"/>
            <w:tcBorders>
              <w:top w:val="nil"/>
              <w:left w:val="nil"/>
              <w:bottom w:val="nil"/>
              <w:right w:val="nil"/>
            </w:tcBorders>
            <w:tcMar>
              <w:top w:w="60" w:type="dxa"/>
              <w:left w:w="80" w:type="dxa"/>
              <w:bottom w:w="60" w:type="dxa"/>
              <w:right w:w="80" w:type="dxa"/>
            </w:tcMar>
            <w:vAlign w:val="center"/>
          </w:tcPr>
          <w:p w14:paraId="2536B73D" w14:textId="77777777" w:rsidR="007A2869" w:rsidRDefault="00000000">
            <w:r>
              <w:rPr>
                <w:sz w:val="20"/>
                <w:szCs w:val="20"/>
              </w:rPr>
              <w:t>Regime switch replaces entire 260-scenario set with 30-80 matched scenarios</w:t>
            </w:r>
          </w:p>
        </w:tc>
        <w:tc>
          <w:tcPr>
            <w:tcW w:w="1700" w:type="dxa"/>
            <w:tcBorders>
              <w:top w:val="nil"/>
              <w:left w:val="nil"/>
              <w:bottom w:val="nil"/>
              <w:right w:val="nil"/>
            </w:tcBorders>
            <w:tcMar>
              <w:top w:w="60" w:type="dxa"/>
              <w:left w:w="80" w:type="dxa"/>
              <w:bottom w:w="60" w:type="dxa"/>
              <w:right w:w="80" w:type="dxa"/>
            </w:tcMar>
            <w:vAlign w:val="center"/>
          </w:tcPr>
          <w:p w14:paraId="2536B73E" w14:textId="77777777" w:rsidR="007A2869" w:rsidRDefault="00000000">
            <w:r>
              <w:rPr>
                <w:sz w:val="20"/>
                <w:szCs w:val="20"/>
              </w:rPr>
              <w:t>226% annual turnover; tenfold vs. static benchmark</w:t>
            </w:r>
          </w:p>
        </w:tc>
        <w:tc>
          <w:tcPr>
            <w:tcW w:w="1800" w:type="dxa"/>
            <w:tcBorders>
              <w:top w:val="nil"/>
              <w:left w:val="nil"/>
              <w:bottom w:val="nil"/>
              <w:right w:val="nil"/>
            </w:tcBorders>
            <w:tcMar>
              <w:top w:w="60" w:type="dxa"/>
              <w:left w:w="80" w:type="dxa"/>
              <w:bottom w:w="60" w:type="dxa"/>
              <w:right w:w="80" w:type="dxa"/>
            </w:tcMar>
            <w:vAlign w:val="center"/>
          </w:tcPr>
          <w:p w14:paraId="2536B73F" w14:textId="77777777" w:rsidR="007A2869" w:rsidRDefault="00000000">
            <w:r>
              <w:rPr>
                <w:sz w:val="20"/>
                <w:szCs w:val="20"/>
              </w:rPr>
              <w:t>L1 turnover penalty in LP objective reduces TO to 60%</w:t>
            </w:r>
          </w:p>
        </w:tc>
        <w:tc>
          <w:tcPr>
            <w:tcW w:w="1860" w:type="dxa"/>
            <w:tcBorders>
              <w:top w:val="nil"/>
              <w:left w:val="nil"/>
              <w:bottom w:val="nil"/>
              <w:right w:val="nil"/>
            </w:tcBorders>
            <w:tcMar>
              <w:top w:w="60" w:type="dxa"/>
              <w:left w:w="80" w:type="dxa"/>
              <w:bottom w:w="60" w:type="dxa"/>
              <w:right w:w="80" w:type="dxa"/>
            </w:tcMar>
            <w:vAlign w:val="center"/>
          </w:tcPr>
          <w:p w14:paraId="2536B740" w14:textId="77777777" w:rsidR="007A2869" w:rsidRDefault="00000000">
            <w:r>
              <w:rPr>
                <w:sz w:val="20"/>
                <w:szCs w:val="20"/>
              </w:rPr>
              <w:t>Net SR 0.486 vs. 0.528 for Static CVaR</w:t>
            </w:r>
          </w:p>
        </w:tc>
      </w:tr>
      <w:tr w:rsidR="007A2869" w14:paraId="2536B747"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2536B742" w14:textId="77777777" w:rsidR="007A2869" w:rsidRDefault="00000000">
            <w:r>
              <w:rPr>
                <w:sz w:val="20"/>
                <w:szCs w:val="20"/>
              </w:rPr>
              <w:t>Small scenario set</w:t>
            </w:r>
          </w:p>
        </w:tc>
        <w:tc>
          <w:tcPr>
            <w:tcW w:w="1800" w:type="dxa"/>
            <w:tcBorders>
              <w:top w:val="nil"/>
              <w:left w:val="nil"/>
              <w:bottom w:val="nil"/>
              <w:right w:val="nil"/>
            </w:tcBorders>
            <w:tcMar>
              <w:top w:w="60" w:type="dxa"/>
              <w:left w:w="80" w:type="dxa"/>
              <w:bottom w:w="60" w:type="dxa"/>
              <w:right w:w="80" w:type="dxa"/>
            </w:tcMar>
            <w:vAlign w:val="center"/>
          </w:tcPr>
          <w:p w14:paraId="2536B743" w14:textId="77777777" w:rsidR="007A2869" w:rsidRDefault="00000000">
            <w:r>
              <w:rPr>
                <w:sz w:val="20"/>
                <w:szCs w:val="20"/>
              </w:rPr>
              <w:t>CVaR tail estimated from handful of regime-matched observations</w:t>
            </w:r>
          </w:p>
        </w:tc>
        <w:tc>
          <w:tcPr>
            <w:tcW w:w="1700" w:type="dxa"/>
            <w:tcBorders>
              <w:top w:val="nil"/>
              <w:left w:val="nil"/>
              <w:bottom w:val="nil"/>
              <w:right w:val="nil"/>
            </w:tcBorders>
            <w:tcMar>
              <w:top w:w="60" w:type="dxa"/>
              <w:left w:w="80" w:type="dxa"/>
              <w:bottom w:w="60" w:type="dxa"/>
              <w:right w:w="80" w:type="dxa"/>
            </w:tcMar>
            <w:vAlign w:val="center"/>
          </w:tcPr>
          <w:p w14:paraId="2536B744" w14:textId="77777777" w:rsidR="007A2869" w:rsidRDefault="00000000">
            <w:r>
              <w:rPr>
                <w:sz w:val="20"/>
                <w:szCs w:val="20"/>
              </w:rPr>
              <w:t>Higher OOS estimation error; lower gross Sharpe (0.365 vs. 0.530)</w:t>
            </w:r>
          </w:p>
        </w:tc>
        <w:tc>
          <w:tcPr>
            <w:tcW w:w="1800" w:type="dxa"/>
            <w:tcBorders>
              <w:top w:val="nil"/>
              <w:left w:val="nil"/>
              <w:bottom w:val="nil"/>
              <w:right w:val="nil"/>
            </w:tcBorders>
            <w:tcMar>
              <w:top w:w="60" w:type="dxa"/>
              <w:left w:w="80" w:type="dxa"/>
              <w:bottom w:w="60" w:type="dxa"/>
              <w:right w:w="80" w:type="dxa"/>
            </w:tcMar>
            <w:vAlign w:val="center"/>
          </w:tcPr>
          <w:p w14:paraId="2536B745" w14:textId="77777777" w:rsidR="007A2869" w:rsidRDefault="00000000">
            <w:r>
              <w:rPr>
                <w:sz w:val="20"/>
                <w:szCs w:val="20"/>
              </w:rPr>
              <w:t>Regime constraints retain full 260-scenario set</w:t>
            </w:r>
          </w:p>
        </w:tc>
        <w:tc>
          <w:tcPr>
            <w:tcW w:w="1860" w:type="dxa"/>
            <w:tcBorders>
              <w:top w:val="nil"/>
              <w:left w:val="nil"/>
              <w:bottom w:val="nil"/>
              <w:right w:val="nil"/>
            </w:tcBorders>
            <w:tcMar>
              <w:top w:w="60" w:type="dxa"/>
              <w:left w:w="80" w:type="dxa"/>
              <w:bottom w:w="60" w:type="dxa"/>
              <w:right w:w="80" w:type="dxa"/>
            </w:tcMar>
            <w:vAlign w:val="center"/>
          </w:tcPr>
          <w:p w14:paraId="2536B746" w14:textId="77777777" w:rsidR="007A2869" w:rsidRDefault="00000000">
            <w:r>
              <w:rPr>
                <w:sz w:val="20"/>
                <w:szCs w:val="20"/>
              </w:rPr>
              <w:t>Net SR 0.519 vs. 0.528; not statistically significant</w:t>
            </w:r>
          </w:p>
        </w:tc>
      </w:tr>
      <w:tr w:rsidR="007A2869" w14:paraId="2536B74D"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2536B748" w14:textId="77777777" w:rsidR="007A2869" w:rsidRDefault="00000000">
            <w:r>
              <w:rPr>
                <w:sz w:val="20"/>
                <w:szCs w:val="20"/>
              </w:rPr>
              <w:t>Hard label assignment</w:t>
            </w:r>
          </w:p>
        </w:tc>
        <w:tc>
          <w:tcPr>
            <w:tcW w:w="1800" w:type="dxa"/>
            <w:tcBorders>
              <w:top w:val="nil"/>
              <w:left w:val="nil"/>
              <w:bottom w:val="nil"/>
              <w:right w:val="nil"/>
            </w:tcBorders>
            <w:tcMar>
              <w:top w:w="60" w:type="dxa"/>
              <w:left w:w="80" w:type="dxa"/>
              <w:bottom w:w="60" w:type="dxa"/>
              <w:right w:w="80" w:type="dxa"/>
            </w:tcMar>
            <w:vAlign w:val="center"/>
          </w:tcPr>
          <w:p w14:paraId="2536B749" w14:textId="77777777" w:rsidR="007A2869" w:rsidRDefault="00000000">
            <w:r>
              <w:rPr>
                <w:sz w:val="20"/>
                <w:szCs w:val="20"/>
              </w:rPr>
              <w:t>Argmax discards posterior uncertainty (e.g., 40% / 35% / 25% spread)</w:t>
            </w:r>
          </w:p>
        </w:tc>
        <w:tc>
          <w:tcPr>
            <w:tcW w:w="1700" w:type="dxa"/>
            <w:tcBorders>
              <w:top w:val="nil"/>
              <w:left w:val="nil"/>
              <w:bottom w:val="nil"/>
              <w:right w:val="nil"/>
            </w:tcBorders>
            <w:tcMar>
              <w:top w:w="60" w:type="dxa"/>
              <w:left w:w="80" w:type="dxa"/>
              <w:bottom w:w="60" w:type="dxa"/>
              <w:right w:w="80" w:type="dxa"/>
            </w:tcMar>
            <w:vAlign w:val="center"/>
          </w:tcPr>
          <w:p w14:paraId="2536B74A" w14:textId="77777777" w:rsidR="007A2869" w:rsidRDefault="00000000">
            <w:r>
              <w:rPr>
                <w:sz w:val="20"/>
                <w:szCs w:val="20"/>
              </w:rPr>
              <w:t>Weighted CVaR soft-weights scenarios but still underperforms static</w:t>
            </w:r>
          </w:p>
        </w:tc>
        <w:tc>
          <w:tcPr>
            <w:tcW w:w="1800" w:type="dxa"/>
            <w:tcBorders>
              <w:top w:val="nil"/>
              <w:left w:val="nil"/>
              <w:bottom w:val="nil"/>
              <w:right w:val="nil"/>
            </w:tcBorders>
            <w:tcMar>
              <w:top w:w="60" w:type="dxa"/>
              <w:left w:w="80" w:type="dxa"/>
              <w:bottom w:w="60" w:type="dxa"/>
              <w:right w:w="80" w:type="dxa"/>
            </w:tcMar>
            <w:vAlign w:val="center"/>
          </w:tcPr>
          <w:p w14:paraId="2536B74B" w14:textId="77777777" w:rsidR="007A2869" w:rsidRDefault="00000000">
            <w:r>
              <w:rPr>
                <w:sz w:val="20"/>
                <w:szCs w:val="20"/>
              </w:rPr>
              <w:t>Soft-weighting (Weighted CVaR) partially addresses uncertainty</w:t>
            </w:r>
          </w:p>
        </w:tc>
        <w:tc>
          <w:tcPr>
            <w:tcW w:w="1860" w:type="dxa"/>
            <w:tcBorders>
              <w:top w:val="nil"/>
              <w:left w:val="nil"/>
              <w:bottom w:val="nil"/>
              <w:right w:val="nil"/>
            </w:tcBorders>
            <w:tcMar>
              <w:top w:w="60" w:type="dxa"/>
              <w:left w:w="80" w:type="dxa"/>
              <w:bottom w:w="60" w:type="dxa"/>
              <w:right w:w="80" w:type="dxa"/>
            </w:tcMar>
            <w:vAlign w:val="center"/>
          </w:tcPr>
          <w:p w14:paraId="2536B74C" w14:textId="77777777" w:rsidR="007A2869" w:rsidRDefault="00000000">
            <w:r>
              <w:rPr>
                <w:sz w:val="20"/>
                <w:szCs w:val="20"/>
              </w:rPr>
              <w:t>No improvement over static in any specification</w:t>
            </w:r>
          </w:p>
        </w:tc>
      </w:tr>
      <w:tr w:rsidR="007A2869" w14:paraId="2536B753"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2536B74E" w14:textId="77777777" w:rsidR="007A2869" w:rsidRDefault="00000000">
            <w:r>
              <w:rPr>
                <w:sz w:val="20"/>
                <w:szCs w:val="20"/>
              </w:rPr>
              <w:lastRenderedPageBreak/>
              <w:t>Label sensitivity</w:t>
            </w:r>
          </w:p>
        </w:tc>
        <w:tc>
          <w:tcPr>
            <w:tcW w:w="1800" w:type="dxa"/>
            <w:tcBorders>
              <w:top w:val="nil"/>
              <w:left w:val="nil"/>
              <w:bottom w:val="nil"/>
              <w:right w:val="nil"/>
            </w:tcBorders>
            <w:tcMar>
              <w:top w:w="60" w:type="dxa"/>
              <w:left w:w="80" w:type="dxa"/>
              <w:bottom w:w="60" w:type="dxa"/>
              <w:right w:w="80" w:type="dxa"/>
            </w:tcMar>
            <w:vAlign w:val="center"/>
          </w:tcPr>
          <w:p w14:paraId="2536B74F" w14:textId="77777777" w:rsidR="007A2869" w:rsidRDefault="00000000">
            <w:r>
              <w:rPr>
                <w:sz w:val="20"/>
                <w:szCs w:val="20"/>
              </w:rPr>
              <w:t>HICP-lag6 variant: 55% label agreement; ZEW 47.9% feature variance share</w:t>
            </w:r>
          </w:p>
        </w:tc>
        <w:tc>
          <w:tcPr>
            <w:tcW w:w="1700" w:type="dxa"/>
            <w:tcBorders>
              <w:top w:val="nil"/>
              <w:left w:val="nil"/>
              <w:bottom w:val="nil"/>
              <w:right w:val="nil"/>
            </w:tcBorders>
            <w:tcMar>
              <w:top w:w="60" w:type="dxa"/>
              <w:left w:w="80" w:type="dxa"/>
              <w:bottom w:w="60" w:type="dxa"/>
              <w:right w:w="80" w:type="dxa"/>
            </w:tcMar>
            <w:vAlign w:val="center"/>
          </w:tcPr>
          <w:p w14:paraId="2536B750" w14:textId="77777777" w:rsidR="007A2869" w:rsidRDefault="00000000">
            <w:r>
              <w:rPr>
                <w:sz w:val="20"/>
                <w:szCs w:val="20"/>
              </w:rPr>
              <w:t>Robustness Sharpe spread &lt;0.02; conclusions unchanged</w:t>
            </w:r>
          </w:p>
        </w:tc>
        <w:tc>
          <w:tcPr>
            <w:tcW w:w="1800" w:type="dxa"/>
            <w:tcBorders>
              <w:top w:val="nil"/>
              <w:left w:val="nil"/>
              <w:bottom w:val="nil"/>
              <w:right w:val="nil"/>
            </w:tcBorders>
            <w:tcMar>
              <w:top w:w="60" w:type="dxa"/>
              <w:left w:w="80" w:type="dxa"/>
              <w:bottom w:w="60" w:type="dxa"/>
              <w:right w:w="80" w:type="dxa"/>
            </w:tcMar>
            <w:vAlign w:val="center"/>
          </w:tcPr>
          <w:p w14:paraId="2536B751" w14:textId="77777777" w:rsidR="007A2869" w:rsidRDefault="00000000">
            <w:r>
              <w:rPr>
                <w:sz w:val="20"/>
                <w:szCs w:val="20"/>
              </w:rPr>
              <w:t>Feature robustness checks (ZEW swap, HICP lag)</w:t>
            </w:r>
          </w:p>
        </w:tc>
        <w:tc>
          <w:tcPr>
            <w:tcW w:w="1860" w:type="dxa"/>
            <w:tcBorders>
              <w:top w:val="nil"/>
              <w:left w:val="nil"/>
              <w:bottom w:val="nil"/>
              <w:right w:val="nil"/>
            </w:tcBorders>
            <w:tcMar>
              <w:top w:w="60" w:type="dxa"/>
              <w:left w:w="80" w:type="dxa"/>
              <w:bottom w:w="60" w:type="dxa"/>
              <w:right w:w="80" w:type="dxa"/>
            </w:tcMar>
            <w:vAlign w:val="center"/>
          </w:tcPr>
          <w:p w14:paraId="2536B752" w14:textId="77777777" w:rsidR="007A2869" w:rsidRDefault="00000000">
            <w:r>
              <w:rPr>
                <w:sz w:val="20"/>
                <w:szCs w:val="20"/>
              </w:rPr>
              <w:t>No dominant feature set identified</w:t>
            </w:r>
          </w:p>
        </w:tc>
      </w:tr>
      <w:tr w:rsidR="007A2869" w14:paraId="2536B759"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2536B754" w14:textId="77777777" w:rsidR="007A2869" w:rsidRDefault="00000000">
            <w:r>
              <w:rPr>
                <w:sz w:val="20"/>
                <w:szCs w:val="20"/>
              </w:rPr>
              <w:t>Macro-portfolio mismatch</w:t>
            </w:r>
          </w:p>
        </w:tc>
        <w:tc>
          <w:tcPr>
            <w:tcW w:w="1800" w:type="dxa"/>
            <w:tcBorders>
              <w:top w:val="nil"/>
              <w:left w:val="nil"/>
              <w:bottom w:val="nil"/>
              <w:right w:val="nil"/>
            </w:tcBorders>
            <w:tcMar>
              <w:top w:w="60" w:type="dxa"/>
              <w:left w:w="80" w:type="dxa"/>
              <w:bottom w:w="60" w:type="dxa"/>
              <w:right w:w="80" w:type="dxa"/>
            </w:tcMar>
            <w:vAlign w:val="center"/>
          </w:tcPr>
          <w:p w14:paraId="2536B755" w14:textId="77777777" w:rsidR="007A2869" w:rsidRDefault="00000000">
            <w:r>
              <w:rPr>
                <w:sz w:val="20"/>
                <w:szCs w:val="20"/>
              </w:rPr>
              <w:t>Regime signal estimated on macro features; traded assets are financial returns</w:t>
            </w:r>
          </w:p>
        </w:tc>
        <w:tc>
          <w:tcPr>
            <w:tcW w:w="1700" w:type="dxa"/>
            <w:tcBorders>
              <w:top w:val="nil"/>
              <w:left w:val="nil"/>
              <w:bottom w:val="nil"/>
              <w:right w:val="nil"/>
            </w:tcBorders>
            <w:tcMar>
              <w:top w:w="60" w:type="dxa"/>
              <w:left w:w="80" w:type="dxa"/>
              <w:bottom w:w="60" w:type="dxa"/>
              <w:right w:w="80" w:type="dxa"/>
            </w:tcMar>
            <w:vAlign w:val="center"/>
          </w:tcPr>
          <w:p w14:paraId="2536B756" w14:textId="77777777" w:rsidR="007A2869" w:rsidRDefault="00000000">
            <w:r>
              <w:rPr>
                <w:sz w:val="20"/>
                <w:szCs w:val="20"/>
              </w:rPr>
              <w:t>No asset-level signal decomposition possible with current design</w:t>
            </w:r>
          </w:p>
        </w:tc>
        <w:tc>
          <w:tcPr>
            <w:tcW w:w="1800" w:type="dxa"/>
            <w:tcBorders>
              <w:top w:val="nil"/>
              <w:left w:val="nil"/>
              <w:bottom w:val="nil"/>
              <w:right w:val="nil"/>
            </w:tcBorders>
            <w:tcMar>
              <w:top w:w="60" w:type="dxa"/>
              <w:left w:w="80" w:type="dxa"/>
              <w:bottom w:w="60" w:type="dxa"/>
              <w:right w:w="80" w:type="dxa"/>
            </w:tcMar>
            <w:vAlign w:val="center"/>
          </w:tcPr>
          <w:p w14:paraId="2536B757" w14:textId="77777777" w:rsidR="007A2869" w:rsidRDefault="00000000">
            <w:r>
              <w:rPr>
                <w:sz w:val="20"/>
                <w:szCs w:val="20"/>
              </w:rPr>
              <w:t>Factor-orthogonal HMM design (not pursued in this paper)</w:t>
            </w:r>
          </w:p>
        </w:tc>
        <w:tc>
          <w:tcPr>
            <w:tcW w:w="1860" w:type="dxa"/>
            <w:tcBorders>
              <w:top w:val="nil"/>
              <w:left w:val="nil"/>
              <w:bottom w:val="nil"/>
              <w:right w:val="nil"/>
            </w:tcBorders>
            <w:tcMar>
              <w:top w:w="60" w:type="dxa"/>
              <w:left w:w="80" w:type="dxa"/>
              <w:bottom w:w="60" w:type="dxa"/>
              <w:right w:w="80" w:type="dxa"/>
            </w:tcMar>
            <w:vAlign w:val="center"/>
          </w:tcPr>
          <w:p w14:paraId="2536B758" w14:textId="77777777" w:rsidR="007A2869" w:rsidRDefault="00000000">
            <w:r>
              <w:rPr>
                <w:sz w:val="20"/>
                <w:szCs w:val="20"/>
              </w:rPr>
              <w:t>Open research question</w:t>
            </w:r>
          </w:p>
        </w:tc>
      </w:tr>
      <w:tr w:rsidR="007A2869" w14:paraId="2536B75F" w14:textId="77777777">
        <w:tblPrEx>
          <w:tblCellMar>
            <w:top w:w="0" w:type="dxa"/>
            <w:bottom w:w="0" w:type="dxa"/>
          </w:tblCellMar>
        </w:tblPrEx>
        <w:tc>
          <w:tcPr>
            <w:tcW w:w="22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5A" w14:textId="77777777" w:rsidR="007A2869" w:rsidRDefault="00000000">
            <w:r>
              <w:rPr>
                <w:sz w:val="20"/>
                <w:szCs w:val="20"/>
              </w:rPr>
              <w:t>Rate-shock exposure (FI)</w:t>
            </w:r>
          </w:p>
        </w:tc>
        <w:tc>
          <w:tcPr>
            <w:tcW w:w="1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5B" w14:textId="77777777" w:rsidR="007A2869" w:rsidRDefault="00000000">
            <w:r>
              <w:rPr>
                <w:sz w:val="20"/>
                <w:szCs w:val="20"/>
              </w:rPr>
              <w:t>Bond inclusion changes risk factor profile toward duration</w:t>
            </w:r>
          </w:p>
        </w:tc>
        <w:tc>
          <w:tcPr>
            <w:tcW w:w="17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5C" w14:textId="77777777" w:rsidR="007A2869" w:rsidRDefault="00000000">
            <w:r>
              <w:rPr>
                <w:sz w:val="20"/>
                <w:szCs w:val="20"/>
              </w:rPr>
              <w:t>-10% to -13% FI-expanded portfolio losses in 2022 ECB cycle</w:t>
            </w:r>
          </w:p>
        </w:tc>
        <w:tc>
          <w:tcPr>
            <w:tcW w:w="1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5D" w14:textId="77777777" w:rsidR="007A2869" w:rsidRDefault="00000000">
            <w:r>
              <w:rPr>
                <w:sz w:val="20"/>
                <w:szCs w:val="20"/>
              </w:rPr>
              <w:t>Explicit duration constraint on bond allocation</w:t>
            </w:r>
          </w:p>
        </w:tc>
        <w:tc>
          <w:tcPr>
            <w:tcW w:w="18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5E" w14:textId="77777777" w:rsidR="007A2869" w:rsidRDefault="00000000">
            <w:r>
              <w:rPr>
                <w:sz w:val="20"/>
                <w:szCs w:val="20"/>
              </w:rPr>
              <w:t>Not pursued; opportunity-set design trade-off</w:t>
            </w:r>
          </w:p>
        </w:tc>
      </w:tr>
    </w:tbl>
    <w:p w14:paraId="2536B760" w14:textId="77777777" w:rsidR="007A2869" w:rsidRDefault="007A2869">
      <w:pPr>
        <w:spacing w:line="480" w:lineRule="auto"/>
      </w:pPr>
    </w:p>
    <w:p w14:paraId="2536B761" w14:textId="77777777" w:rsidR="007A2869" w:rsidRDefault="00000000">
      <w:pPr>
        <w:spacing w:before="240" w:after="120" w:line="480" w:lineRule="auto"/>
      </w:pPr>
      <w:r>
        <w:rPr>
          <w:i/>
          <w:iCs/>
        </w:rPr>
        <w:t>B. Implications for Practice</w:t>
      </w:r>
    </w:p>
    <w:p w14:paraId="2536B762" w14:textId="77777777" w:rsidR="007A2869" w:rsidRDefault="00000000">
      <w:pPr>
        <w:spacing w:line="480" w:lineRule="auto"/>
        <w:ind w:firstLine="720"/>
        <w:jc w:val="both"/>
      </w:pPr>
      <w:r>
        <w:t>The regime-constraints approach (Section V.B) is the most practically viable regime-aware mechanism we identify. By encoding investment policy beliefs (reduce equity in stress, hold defensive assets) as group-level weight constraints, while keeping the full CVaR scenario set intact, it achieves near-static performance at moderate turnover and produces a policy that can be audited and presented to a risk committee. This approach is more aligned with how institutional investors use macro views in practice: as guardrails on allocation, not as wholesale replacements of the opportunity set.</w:t>
      </w:r>
    </w:p>
    <w:p w14:paraId="2536B763" w14:textId="77777777" w:rsidR="007A2869" w:rsidRDefault="007A2869">
      <w:pPr>
        <w:spacing w:line="480" w:lineRule="auto"/>
      </w:pPr>
    </w:p>
    <w:p w14:paraId="2536B764" w14:textId="77777777" w:rsidR="007A2869" w:rsidRDefault="00000000">
      <w:pPr>
        <w:spacing w:line="480" w:lineRule="auto"/>
        <w:ind w:firstLine="720"/>
        <w:jc w:val="both"/>
      </w:pPr>
      <w:r>
        <w:t xml:space="preserve">The FI-expanded results highlight a second practical implication: the composition of the opportunity set materially affects both performance and the source of risk. When bonds are unavailable, the CVaR optimizer heavily concentrates in commodities and gold, an institutionally </w:t>
      </w:r>
      <w:r>
        <w:lastRenderedPageBreak/>
        <w:t>unusual allocation that happens to outperform in inflationary shocks. Adding bonds produces a more conventional allocation but introduces duration risk that materializes in rate-hiking cycles. Practitioners should be explicit about which risks their opportunity set design is implicitly accepting.</w:t>
      </w:r>
    </w:p>
    <w:p w14:paraId="2536B765" w14:textId="77777777" w:rsidR="007A2869" w:rsidRDefault="007A2869">
      <w:pPr>
        <w:spacing w:line="480" w:lineRule="auto"/>
      </w:pPr>
    </w:p>
    <w:p w14:paraId="2536B766" w14:textId="77777777" w:rsidR="007A2869" w:rsidRDefault="00000000">
      <w:pPr>
        <w:spacing w:line="480" w:lineRule="auto"/>
        <w:ind w:firstLine="720"/>
        <w:jc w:val="both"/>
      </w:pPr>
      <w:r>
        <w:t>A related implication concerns the choice of evaluation benchmark. Our results suggest that the natural reference point for any regime-conditioned extension is the best static optimizer over the same universe, not an arbitrary passive portfolio. In our setting, Static CVaR is a disciplined, systematic strategy with strong risk-control properties; it represents a genuinely high bar. Practitioners comparing regime-conditioned CVaR to a 60/40 portfolio or an equal-weighted benchmark may reach more favorable conclusions, but such comparisons conflate the value of the optimization framework with the incremental value of regime conditioning, making it difficult to attribute performance sources.</w:t>
      </w:r>
    </w:p>
    <w:p w14:paraId="2536B767" w14:textId="77777777" w:rsidR="007A2869" w:rsidRDefault="007A2869">
      <w:pPr>
        <w:spacing w:line="480" w:lineRule="auto"/>
      </w:pPr>
    </w:p>
    <w:p w14:paraId="2536B768" w14:textId="77777777" w:rsidR="007A2869" w:rsidRDefault="00000000">
      <w:pPr>
        <w:spacing w:before="240" w:after="120" w:line="480" w:lineRule="auto"/>
      </w:pPr>
      <w:r>
        <w:rPr>
          <w:i/>
          <w:iCs/>
        </w:rPr>
        <w:t>C. Limitations</w:t>
      </w:r>
    </w:p>
    <w:p w14:paraId="2536B769" w14:textId="77777777" w:rsidR="007A2869" w:rsidRDefault="00000000">
      <w:pPr>
        <w:spacing w:line="480" w:lineRule="auto"/>
        <w:ind w:firstLine="720"/>
        <w:jc w:val="both"/>
      </w:pPr>
      <w:r>
        <w:t xml:space="preserve">HMM regime labels are statistical constructs, not structural breaks. The model identifies recurring distributional patterns in the feature vector, but these patterns need not correspond to economically distinct regimes in any fundamental sense. State assignments are post-hoc descriptions that may reflect noise as much as signal: the 55% label agreement between the baseline and HICP-lagged specifications suggests that the regime sequence is sensitive to feature </w:t>
      </w:r>
      <w:r>
        <w:lastRenderedPageBreak/>
        <w:t>timing choices in ways that likely reflect measurement uncertainty rather than genuine economic state differences. All downstream portfolio conclusions inherit this uncertainty.</w:t>
      </w:r>
    </w:p>
    <w:p w14:paraId="2536B76A" w14:textId="77777777" w:rsidR="007A2869" w:rsidRDefault="007A2869">
      <w:pPr>
        <w:spacing w:line="480" w:lineRule="auto"/>
      </w:pPr>
    </w:p>
    <w:p w14:paraId="2536B76B" w14:textId="77777777" w:rsidR="007A2869" w:rsidRDefault="00000000">
      <w:pPr>
        <w:spacing w:line="480" w:lineRule="auto"/>
        <w:ind w:firstLine="720"/>
        <w:jc w:val="both"/>
      </w:pPr>
      <w:r>
        <w:t>Feature sensitivity is a second structural limitation. The ZEW Germany economic sentiment indicator accounts for approximately 47.9% of the variance explained by the first principal component of the feature set, meaning the regime assignments are disproportionately driven by a single survey-based sentiment measure. Substituting ZEW with VSTOXX (the ZEW-swap experiment) changes RC-CVaR baseline Sharpe from 0.522 to 0.519, a small shift, but confirms that feature construction choices materially affect the label sequence even when aggregate performance appears stable.</w:t>
      </w:r>
    </w:p>
    <w:p w14:paraId="2536B76C" w14:textId="77777777" w:rsidR="007A2869" w:rsidRDefault="007A2869">
      <w:pPr>
        <w:spacing w:line="480" w:lineRule="auto"/>
      </w:pPr>
    </w:p>
    <w:p w14:paraId="2536B76D" w14:textId="77777777" w:rsidR="007A2869" w:rsidRDefault="00000000">
      <w:pPr>
        <w:spacing w:line="480" w:lineRule="auto"/>
        <w:ind w:firstLine="720"/>
        <w:jc w:val="both"/>
      </w:pPr>
      <w:r>
        <w:t>Macro release timing introduces potential look-ahead risk for HICP and ESI features. The baseline specification uses the most recently available published value, but the publication lag for HICP is approximately four weeks and for ESI approximately three weeks. The HICP-lag6 robustness check addresses this for HICP specifically; ESI publication lag is not separately corrected. ZEW and VIX are market-based and available at weekly frequency without lag. Practitioners implementing this design should apply appropriate publication-lag buffers to all macro features to avoid look-ahead contamination.</w:t>
      </w:r>
    </w:p>
    <w:p w14:paraId="2536B76E" w14:textId="77777777" w:rsidR="007A2869" w:rsidRDefault="007A2869">
      <w:pPr>
        <w:spacing w:line="480" w:lineRule="auto"/>
      </w:pPr>
    </w:p>
    <w:p w14:paraId="2536B76F" w14:textId="77777777" w:rsidR="007A2869" w:rsidRDefault="00000000">
      <w:pPr>
        <w:spacing w:line="480" w:lineRule="auto"/>
        <w:ind w:firstLine="720"/>
        <w:jc w:val="both"/>
      </w:pPr>
      <w:r>
        <w:t xml:space="preserve">The transaction cost model is deliberately simplified. The 10 bps one-way cost assumption covers a range of institutional scenarios but does not model bid-ask spreads on futures contracts, </w:t>
      </w:r>
      <w:r>
        <w:lastRenderedPageBreak/>
        <w:t>market impact for large trades, or the operational costs of frequent rebalancing. The asset universe excludes corporate credit, which would add an additional liquidity dimension to transaction cost modeling. Raw source data are subject to LSEG data licensing restrictions and cannot be distributed publicly; reproducibility depends on access to the processed parquet files accompanying this paper.</w:t>
      </w:r>
    </w:p>
    <w:p w14:paraId="2536B770" w14:textId="77777777" w:rsidR="007A2869" w:rsidRDefault="007A2869">
      <w:pPr>
        <w:spacing w:line="480" w:lineRule="auto"/>
      </w:pPr>
    </w:p>
    <w:p w14:paraId="2536B771" w14:textId="77777777" w:rsidR="007A2869" w:rsidRDefault="00000000">
      <w:pPr>
        <w:spacing w:line="480" w:lineRule="auto"/>
        <w:ind w:firstLine="720"/>
        <w:jc w:val="both"/>
      </w:pPr>
      <w:r>
        <w:t>Statistical power is a binding constraint throughout. With 808 weekly observations and Newey-West HAC lag of 13 weeks, effective degrees of freedom are substantially below nominal. Bootstrap confidence intervals for Sharpe ratios span approximately +/-0.4 units, meaning that point estimates of 0.365 (Regime CVaR-A) and 0.530 (Static CVaR) are not statistically distinguishable at conventional levels. The failure to detect significant outperformance is consistent with both "regime conditioning adds no value" and "the sample is too short to detect realistic Sharpe differences." A longer or out-of-sample replication in a different geographic market would sharpen this inference.</w:t>
      </w:r>
    </w:p>
    <w:p w14:paraId="2536B772" w14:textId="77777777" w:rsidR="007A2869" w:rsidRDefault="007A2869">
      <w:pPr>
        <w:spacing w:line="480" w:lineRule="auto"/>
      </w:pPr>
    </w:p>
    <w:p w14:paraId="2536B773" w14:textId="77777777" w:rsidR="007A2869" w:rsidRDefault="00000000">
      <w:pPr>
        <w:spacing w:before="480" w:after="240" w:line="480" w:lineRule="auto"/>
        <w:jc w:val="center"/>
      </w:pPr>
      <w:r>
        <w:t>IX. CONCLUSION</w:t>
      </w:r>
    </w:p>
    <w:p w14:paraId="2536B774" w14:textId="77777777" w:rsidR="007A2869" w:rsidRDefault="00000000">
      <w:pPr>
        <w:spacing w:line="480" w:lineRule="auto"/>
        <w:ind w:firstLine="720"/>
        <w:jc w:val="both"/>
      </w:pPr>
      <w:r>
        <w:t>This paper provides a rigorous out-of-sample evaluation of regime-conditioned CVaR portfolio optimization in European multi-asset markets using 26 years of weekly data. Our central finding is that a regime-unconditional Static CVaR strategy has the strongest point estimates among the main specifications, achieving a Sharpe ratio of 0.530 and maximum drawdown of -</w:t>
      </w:r>
      <w:r>
        <w:lastRenderedPageBreak/>
        <w:t>25.3% over the 2010 to 2026 evaluation period. It is not statistically displaced by any regime-aware variant. Naive scenario-filtering strategies generate tenfold higher portfolio turnover (225.8% versus 21.4% annually), eroding gross performance below benchmarks at any realistic transaction-cost assumption.</w:t>
      </w:r>
    </w:p>
    <w:p w14:paraId="2536B775" w14:textId="77777777" w:rsidR="007A2869" w:rsidRDefault="007A2869">
      <w:pPr>
        <w:spacing w:line="480" w:lineRule="auto"/>
      </w:pPr>
    </w:p>
    <w:p w14:paraId="2536B776" w14:textId="77777777" w:rsidR="007A2869" w:rsidRDefault="00000000">
      <w:pPr>
        <w:spacing w:line="480" w:lineRule="auto"/>
        <w:ind w:firstLine="720"/>
        <w:jc w:val="both"/>
      </w:pPr>
      <w:r>
        <w:t>We show that this failure is structural rather than incidental. Regime transitions induce discontinuous jumps in the CVaR LP solution, and the restricted scenario sets introduce estimation noise that reduces out-of-sample portfolio quality. Implementation-aware alternatives, namely turnover-penalized CVaR and regime-constrained weight bands, recover much of the cost drag and achieve near-static performance (net Sharpe 0.486 to 0.519 at 10 bps), but do not surpass the static benchmark in any robustness specification.</w:t>
      </w:r>
    </w:p>
    <w:p w14:paraId="2536B777" w14:textId="77777777" w:rsidR="007A2869" w:rsidRDefault="007A2869">
      <w:pPr>
        <w:spacing w:line="480" w:lineRule="auto"/>
      </w:pPr>
    </w:p>
    <w:p w14:paraId="2536B778" w14:textId="77777777" w:rsidR="007A2869" w:rsidRDefault="00000000">
      <w:pPr>
        <w:spacing w:line="480" w:lineRule="auto"/>
        <w:ind w:firstLine="720"/>
        <w:jc w:val="both"/>
      </w:pPr>
      <w:r>
        <w:t>Sovereign bond inclusion materially changes the allocation mix, displacing commodities and gold with government bonds and reducing maximum drawdown by 10 to 25 percentage points. However, the 2022 ECB rate-hiking cycle inflicts portfolio losses of -10% to -13% on bond-heavy FI-expanded portfolios, a risk the commodity-oriented baseline avoids by construction. This tension illustrates a general principle: opportunity set design implicitly takes positions on macro risk factors that may or may not be compensated in the evaluation sample.</w:t>
      </w:r>
    </w:p>
    <w:p w14:paraId="2536B779" w14:textId="77777777" w:rsidR="007A2869" w:rsidRDefault="007A2869">
      <w:pPr>
        <w:spacing w:line="480" w:lineRule="auto"/>
      </w:pPr>
    </w:p>
    <w:p w14:paraId="2536B77A" w14:textId="77777777" w:rsidR="007A2869" w:rsidRDefault="00000000">
      <w:pPr>
        <w:spacing w:line="480" w:lineRule="auto"/>
        <w:ind w:firstLine="720"/>
        <w:jc w:val="both"/>
      </w:pPr>
      <w:r>
        <w:t xml:space="preserve">One practical implication for practitioners is that regime-aware constraints on asset group allocations, encoding investment policy beliefs as guardrails rather than wholesale scenario </w:t>
      </w:r>
      <w:r>
        <w:lastRenderedPageBreak/>
        <w:t>replacements, provide an implementable mechanism for incorporating macro views into systematic portfolios with moderate turnover and institutional legitimacy. Whether the additional complexity of HMM-based regime classification adds value beyond simpler rule-based risk signals (for example, VIX thresholds) remains an open question for future research.</w:t>
      </w:r>
    </w:p>
    <w:p w14:paraId="2536B77B" w14:textId="77777777" w:rsidR="007A2869" w:rsidRDefault="007A2869">
      <w:pPr>
        <w:spacing w:line="480" w:lineRule="auto"/>
      </w:pPr>
    </w:p>
    <w:p w14:paraId="2536B77C" w14:textId="77777777" w:rsidR="007A2869" w:rsidRDefault="00000000">
      <w:pPr>
        <w:spacing w:line="480" w:lineRule="auto"/>
        <w:ind w:firstLine="720"/>
        <w:jc w:val="both"/>
      </w:pPr>
      <w:r>
        <w:t>Finally, we caution that the statistical power of even a 15-year weekly backtest is limited. Sharpe differentials of 0.1 to 0.2 between strategies cannot be conclusively attributed to skill versus luck at the 95% confidence level. Practitioners and researchers should treat these results as informative evidence, not definitive rankings. Systematic tail-risk control works in European multi-asset markets; whether systematic regime detection can add cost-effective value beyond a static CVaR framework remains an open empirical question.</w:t>
      </w:r>
    </w:p>
    <w:p w14:paraId="2536B77D" w14:textId="77777777" w:rsidR="007A2869" w:rsidRDefault="007A2869">
      <w:pPr>
        <w:spacing w:line="480" w:lineRule="auto"/>
      </w:pPr>
    </w:p>
    <w:p w14:paraId="2536B77E" w14:textId="77777777" w:rsidR="007A2869" w:rsidRDefault="00000000">
      <w:r>
        <w:br w:type="page"/>
      </w:r>
    </w:p>
    <w:p w14:paraId="2536B77F" w14:textId="77777777" w:rsidR="007A2869" w:rsidRDefault="00000000">
      <w:pPr>
        <w:spacing w:after="240" w:line="480" w:lineRule="auto"/>
        <w:jc w:val="center"/>
      </w:pPr>
      <w:r>
        <w:lastRenderedPageBreak/>
        <w:t>REFERENCES</w:t>
      </w:r>
    </w:p>
    <w:p w14:paraId="2536B780" w14:textId="77777777" w:rsidR="007A2869" w:rsidRDefault="00000000">
      <w:pPr>
        <w:spacing w:after="120" w:line="360" w:lineRule="auto"/>
        <w:ind w:left="720" w:hanging="720"/>
      </w:pPr>
      <w:r>
        <w:rPr>
          <w:sz w:val="22"/>
          <w:szCs w:val="22"/>
        </w:rPr>
        <w:t>Ang, A., and G. Bekaert, 2002, International asset allocation with regime shifts, Review of Financial Studies 15, 1137-1187.</w:t>
      </w:r>
    </w:p>
    <w:p w14:paraId="2536B781" w14:textId="77777777" w:rsidR="007A2869" w:rsidRDefault="00000000">
      <w:pPr>
        <w:spacing w:after="120" w:line="360" w:lineRule="auto"/>
        <w:ind w:left="720" w:hanging="720"/>
      </w:pPr>
      <w:r>
        <w:rPr>
          <w:sz w:val="22"/>
          <w:szCs w:val="22"/>
        </w:rPr>
        <w:t>Ang, A., and G. Bekaert, 2004, How regimes affect asset allocation, Financial Analysts Journal 60, 86-99.</w:t>
      </w:r>
    </w:p>
    <w:p w14:paraId="2536B782" w14:textId="77777777" w:rsidR="007A2869" w:rsidRDefault="00000000">
      <w:pPr>
        <w:spacing w:after="120" w:line="360" w:lineRule="auto"/>
        <w:ind w:left="720" w:hanging="720"/>
      </w:pPr>
      <w:r>
        <w:rPr>
          <w:sz w:val="22"/>
          <w:szCs w:val="22"/>
        </w:rPr>
        <w:t>Frazzini, A., R. Israel, and T. Moskowitz, 2015, Trading costs of asset pricing anomalies, Working Paper, AQR Capital Management.</w:t>
      </w:r>
    </w:p>
    <w:p w14:paraId="2536B783" w14:textId="77777777" w:rsidR="007A2869" w:rsidRDefault="00000000">
      <w:pPr>
        <w:spacing w:after="120" w:line="360" w:lineRule="auto"/>
        <w:ind w:left="720" w:hanging="720"/>
      </w:pPr>
      <w:r>
        <w:rPr>
          <w:sz w:val="22"/>
          <w:szCs w:val="22"/>
        </w:rPr>
        <w:t>Guidolin, M., and A. Timmermann, 2007, Asset allocation under multivariate regime switching, Journal of Economic Dynamics and Control 31, 3503-3544.</w:t>
      </w:r>
    </w:p>
    <w:p w14:paraId="2536B784" w14:textId="77777777" w:rsidR="007A2869" w:rsidRDefault="00000000">
      <w:pPr>
        <w:spacing w:after="120" w:line="360" w:lineRule="auto"/>
        <w:ind w:left="720" w:hanging="720"/>
      </w:pPr>
      <w:r>
        <w:rPr>
          <w:sz w:val="22"/>
          <w:szCs w:val="22"/>
        </w:rPr>
        <w:t>Hamilton, J. D., 1989, A new approach to the economic analysis of nonstationary time series and the business cycle, Econometrica 57, 357-384.</w:t>
      </w:r>
    </w:p>
    <w:p w14:paraId="2536B785" w14:textId="77777777" w:rsidR="007A2869" w:rsidRDefault="00000000">
      <w:pPr>
        <w:spacing w:after="120" w:line="360" w:lineRule="auto"/>
        <w:ind w:left="720" w:hanging="720"/>
      </w:pPr>
      <w:r>
        <w:rPr>
          <w:sz w:val="22"/>
          <w:szCs w:val="22"/>
        </w:rPr>
        <w:t>Ledoit, O., and M. Wolf, 2004, A well-conditioned estimator for large-dimensional covariance matrices, Journal of Multivariate Analysis 88, 365-411.</w:t>
      </w:r>
    </w:p>
    <w:p w14:paraId="2536B786" w14:textId="77777777" w:rsidR="007A2869" w:rsidRDefault="00000000">
      <w:pPr>
        <w:spacing w:after="120" w:line="360" w:lineRule="auto"/>
        <w:ind w:left="720" w:hanging="720"/>
      </w:pPr>
      <w:r>
        <w:rPr>
          <w:sz w:val="22"/>
          <w:szCs w:val="22"/>
        </w:rPr>
        <w:t>Newey, W., and K. West, 1987, A simple, positive semi-definite, heteroskedasticity and autocorrelation consistent covariance matrix, Econometrica 55, 703-708.</w:t>
      </w:r>
    </w:p>
    <w:p w14:paraId="2536B787" w14:textId="77777777" w:rsidR="007A2869" w:rsidRDefault="00000000">
      <w:pPr>
        <w:spacing w:after="120" w:line="360" w:lineRule="auto"/>
        <w:ind w:left="720" w:hanging="720"/>
      </w:pPr>
      <w:r>
        <w:rPr>
          <w:sz w:val="22"/>
          <w:szCs w:val="22"/>
        </w:rPr>
        <w:t>Novy-Marx, R., and M. Velikov, 2016, A taxonomy of anomalies and their trading costs, Review of Financial Studies 29, 104-147.</w:t>
      </w:r>
    </w:p>
    <w:p w14:paraId="2536B788" w14:textId="77777777" w:rsidR="007A2869" w:rsidRDefault="00000000">
      <w:pPr>
        <w:spacing w:after="120" w:line="360" w:lineRule="auto"/>
        <w:ind w:left="720" w:hanging="720"/>
      </w:pPr>
      <w:r>
        <w:rPr>
          <w:sz w:val="22"/>
          <w:szCs w:val="22"/>
        </w:rPr>
        <w:t>Rockafellar, R. T., and S. Uryasev, 2000, Optimization of conditional value-at-risk, Journal of Risk 2, 21-41.</w:t>
      </w:r>
    </w:p>
    <w:p w14:paraId="2536B789" w14:textId="77777777" w:rsidR="007A2869" w:rsidRDefault="007A2869">
      <w:pPr>
        <w:spacing w:line="480" w:lineRule="auto"/>
      </w:pPr>
    </w:p>
    <w:p w14:paraId="2536B78A" w14:textId="77777777" w:rsidR="007A2869" w:rsidRDefault="00000000">
      <w:r>
        <w:br w:type="page"/>
      </w:r>
    </w:p>
    <w:p w14:paraId="2536B78B" w14:textId="77777777" w:rsidR="007A2869" w:rsidRDefault="00000000">
      <w:pPr>
        <w:spacing w:after="240" w:line="480" w:lineRule="auto"/>
        <w:jc w:val="center"/>
      </w:pPr>
      <w:r>
        <w:lastRenderedPageBreak/>
        <w:t>APPENDIX</w:t>
      </w:r>
    </w:p>
    <w:p w14:paraId="2536B78C" w14:textId="77777777" w:rsidR="007A2869" w:rsidRDefault="00000000">
      <w:pPr>
        <w:spacing w:before="120" w:after="240" w:line="480" w:lineRule="auto"/>
        <w:jc w:val="center"/>
      </w:pPr>
      <w:r>
        <w:rPr>
          <w:i/>
          <w:iCs/>
        </w:rPr>
        <w:t>Appendix A: CVaR LP Formulation with Transaction Costs</w:t>
      </w:r>
    </w:p>
    <w:p w14:paraId="2536B78D" w14:textId="77777777" w:rsidR="007A2869" w:rsidRDefault="00000000">
      <w:pPr>
        <w:spacing w:line="480" w:lineRule="auto"/>
        <w:ind w:firstLine="720"/>
        <w:jc w:val="both"/>
      </w:pPr>
      <w:r>
        <w:t>The TC-aware CVaR LP is formulated as follows. Let w^prev denote the portfolio weights after drift from the previous rebalance, before trading. Define auxiliary variables v_i^+ = max(w_i - w_i^prev, 0) and v_i^- = max(w_i^prev - w_i, 0). The L1 turnover is sum_i (v_i^+ + v_i^-). The penalized LP minimizes:</w:t>
      </w:r>
    </w:p>
    <w:p w14:paraId="2536B78E" w14:textId="77777777" w:rsidR="007A2869" w:rsidRDefault="007A2869">
      <w:pPr>
        <w:spacing w:line="480" w:lineRule="auto"/>
      </w:pPr>
    </w:p>
    <w:p w14:paraId="2536B78F" w14:textId="77777777" w:rsidR="007A2869" w:rsidRDefault="00000000">
      <w:pPr>
        <w:spacing w:before="120" w:after="60" w:line="300" w:lineRule="auto"/>
        <w:jc w:val="center"/>
      </w:pPr>
      <w:r>
        <w:rPr>
          <w:sz w:val="22"/>
          <w:szCs w:val="22"/>
        </w:rPr>
        <w:t>min   CVaR(w) + λ · Σ_i (v_i^+ + v_i^-)</w:t>
      </w:r>
    </w:p>
    <w:p w14:paraId="2536B790" w14:textId="77777777" w:rsidR="007A2869" w:rsidRDefault="00000000">
      <w:pPr>
        <w:spacing w:before="120" w:after="60" w:line="300" w:lineRule="auto"/>
        <w:jc w:val="center"/>
      </w:pPr>
      <w:r>
        <w:rPr>
          <w:sz w:val="22"/>
          <w:szCs w:val="22"/>
        </w:rPr>
        <w:t>s.t.  w_i - w_i^prev = v_i^+ - v_i^-,     v_i^+, v_i^- &gt;= 0</w:t>
      </w:r>
    </w:p>
    <w:p w14:paraId="2536B791" w14:textId="77777777" w:rsidR="007A2869" w:rsidRDefault="007A2869">
      <w:pPr>
        <w:spacing w:line="480" w:lineRule="auto"/>
      </w:pPr>
    </w:p>
    <w:p w14:paraId="2536B792" w14:textId="77777777" w:rsidR="007A2869" w:rsidRDefault="00000000">
      <w:pPr>
        <w:spacing w:line="480" w:lineRule="auto"/>
        <w:ind w:firstLine="720"/>
        <w:jc w:val="both"/>
      </w:pPr>
      <w:r>
        <w:t>plus the standard CVaR constraints (see Section II.B). The constrained formulation replaces the penalty term with a hard bound: sum_i (v_i^+ + v_i^-) &lt;= τ. Both are linear in all decision variables and implementable with scipy.optimize.linprog.</w:t>
      </w:r>
    </w:p>
    <w:p w14:paraId="2536B793" w14:textId="77777777" w:rsidR="007A2869" w:rsidRDefault="007A2869">
      <w:pPr>
        <w:spacing w:line="480" w:lineRule="auto"/>
      </w:pPr>
    </w:p>
    <w:p w14:paraId="2536B794" w14:textId="77777777" w:rsidR="007A2869" w:rsidRDefault="00000000">
      <w:pPr>
        <w:spacing w:before="240" w:after="240" w:line="480" w:lineRule="auto"/>
        <w:jc w:val="center"/>
      </w:pPr>
      <w:r>
        <w:rPr>
          <w:i/>
          <w:iCs/>
        </w:rPr>
        <w:t>Appendix B: HMM Feature Construction</w:t>
      </w:r>
    </w:p>
    <w:p w14:paraId="2536B795" w14:textId="77777777" w:rsidR="007A2869" w:rsidRDefault="00000000">
      <w:pPr>
        <w:spacing w:line="480" w:lineRule="auto"/>
        <w:ind w:firstLine="720"/>
        <w:jc w:val="both"/>
      </w:pPr>
      <w:r>
        <w:t xml:space="preserve">All eight HMM features are computed as 52-week rolling z-scores of their underlying macro-financial time series. For a series x_t, the z-score at week t is z_t = (x_t - mu_{t,52}) / sigma_{t,52}, where mu and sigma are the sample mean and standard deviation of the preceding </w:t>
      </w:r>
      <w:r>
        <w:lastRenderedPageBreak/>
        <w:t>52 weeks (excluding the current observation). Features with fewer than 52 observations of history receive a NaN assignment and are excluded from that week's training sample.</w:t>
      </w:r>
    </w:p>
    <w:p w14:paraId="2536B796" w14:textId="77777777" w:rsidR="007A2869" w:rsidRDefault="007A2869">
      <w:pPr>
        <w:spacing w:line="480" w:lineRule="auto"/>
      </w:pPr>
    </w:p>
    <w:p w14:paraId="2536B797" w14:textId="77777777" w:rsidR="007A2869" w:rsidRDefault="00000000">
      <w:pPr>
        <w:spacing w:before="240" w:after="240" w:line="480" w:lineRule="auto"/>
        <w:jc w:val="center"/>
      </w:pPr>
      <w:r>
        <w:rPr>
          <w:i/>
          <w:iCs/>
        </w:rPr>
        <w:t>Appendix C: Regime-Constrained CVaR, Constraint Map</w:t>
      </w:r>
    </w:p>
    <w:p w14:paraId="2536B798" w14:textId="77777777" w:rsidR="007A2869" w:rsidRDefault="00000000">
      <w:pPr>
        <w:spacing w:line="480" w:lineRule="auto"/>
        <w:ind w:firstLine="720"/>
        <w:jc w:val="both"/>
      </w:pPr>
      <w:r>
        <w:t>Equity assets are the six European equity indices. Defensive assets are gold, Bloomberg Commodity Index, and Brent crude oil. The regime-specific constraint bands are as follows:</w:t>
      </w:r>
    </w:p>
    <w:p w14:paraId="2536B799" w14:textId="77777777" w:rsidR="007A2869" w:rsidRDefault="007A2869">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60"/>
      </w:tblGrid>
      <w:tr w:rsidR="007A2869" w14:paraId="2536B79E" w14:textId="77777777">
        <w:tblPrEx>
          <w:tblCellMar>
            <w:top w:w="0" w:type="dxa"/>
            <w:bottom w:w="0" w:type="dxa"/>
          </w:tblCellMar>
        </w:tblPrEx>
        <w:trPr>
          <w:tblHeader/>
        </w:trPr>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9A" w14:textId="77777777" w:rsidR="007A2869" w:rsidRDefault="00000000">
            <w:r>
              <w:rPr>
                <w:b/>
                <w:bCs/>
                <w:sz w:val="20"/>
                <w:szCs w:val="20"/>
              </w:rPr>
              <w:t>State</w:t>
            </w:r>
          </w:p>
        </w:tc>
        <w:tc>
          <w:tcPr>
            <w:tcW w:w="1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9B" w14:textId="77777777" w:rsidR="007A2869" w:rsidRDefault="00000000">
            <w:r>
              <w:rPr>
                <w:b/>
                <w:bCs/>
                <w:sz w:val="20"/>
                <w:szCs w:val="20"/>
              </w:rPr>
              <w:t>Label</w:t>
            </w:r>
          </w:p>
        </w:tc>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9C" w14:textId="77777777" w:rsidR="007A2869" w:rsidRDefault="00000000">
            <w:pPr>
              <w:jc w:val="right"/>
            </w:pPr>
            <w:r>
              <w:rPr>
                <w:b/>
                <w:bCs/>
                <w:sz w:val="20"/>
                <w:szCs w:val="20"/>
              </w:rPr>
              <w:t>Max Equity (sum)</w:t>
            </w:r>
          </w:p>
        </w:tc>
        <w:tc>
          <w:tcPr>
            <w:tcW w:w="35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9D" w14:textId="77777777" w:rsidR="007A2869" w:rsidRDefault="00000000">
            <w:pPr>
              <w:jc w:val="right"/>
            </w:pPr>
            <w:r>
              <w:rPr>
                <w:b/>
                <w:bCs/>
                <w:sz w:val="20"/>
                <w:szCs w:val="20"/>
              </w:rPr>
              <w:t>Min Defensive (sum)</w:t>
            </w:r>
          </w:p>
        </w:tc>
      </w:tr>
      <w:tr w:rsidR="007A2869" w14:paraId="2536B7A3"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79F" w14:textId="77777777" w:rsidR="007A2869" w:rsidRDefault="00000000">
            <w:r>
              <w:rPr>
                <w:sz w:val="20"/>
                <w:szCs w:val="20"/>
              </w:rPr>
              <w:t>0</w:t>
            </w:r>
          </w:p>
        </w:tc>
        <w:tc>
          <w:tcPr>
            <w:tcW w:w="1800" w:type="dxa"/>
            <w:tcBorders>
              <w:top w:val="nil"/>
              <w:left w:val="nil"/>
              <w:bottom w:val="nil"/>
              <w:right w:val="nil"/>
            </w:tcBorders>
            <w:tcMar>
              <w:top w:w="60" w:type="dxa"/>
              <w:left w:w="80" w:type="dxa"/>
              <w:bottom w:w="60" w:type="dxa"/>
              <w:right w:w="80" w:type="dxa"/>
            </w:tcMar>
            <w:vAlign w:val="center"/>
          </w:tcPr>
          <w:p w14:paraId="2536B7A0" w14:textId="77777777" w:rsidR="007A2869" w:rsidRDefault="00000000">
            <w:r>
              <w:rPr>
                <w:sz w:val="20"/>
                <w:szCs w:val="20"/>
              </w:rPr>
              <w:t>Low-vol / Subdued</w:t>
            </w:r>
          </w:p>
        </w:tc>
        <w:tc>
          <w:tcPr>
            <w:tcW w:w="2000" w:type="dxa"/>
            <w:tcBorders>
              <w:top w:val="nil"/>
              <w:left w:val="nil"/>
              <w:bottom w:val="nil"/>
              <w:right w:val="nil"/>
            </w:tcBorders>
            <w:tcMar>
              <w:top w:w="60" w:type="dxa"/>
              <w:left w:w="80" w:type="dxa"/>
              <w:bottom w:w="60" w:type="dxa"/>
              <w:right w:w="80" w:type="dxa"/>
            </w:tcMar>
            <w:vAlign w:val="center"/>
          </w:tcPr>
          <w:p w14:paraId="2536B7A1" w14:textId="77777777" w:rsidR="007A2869" w:rsidRDefault="00000000">
            <w:pPr>
              <w:jc w:val="right"/>
            </w:pPr>
            <w:r>
              <w:rPr>
                <w:sz w:val="20"/>
                <w:szCs w:val="20"/>
              </w:rPr>
              <w:t>65%</w:t>
            </w:r>
          </w:p>
        </w:tc>
        <w:tc>
          <w:tcPr>
            <w:tcW w:w="3560" w:type="dxa"/>
            <w:tcBorders>
              <w:top w:val="nil"/>
              <w:left w:val="nil"/>
              <w:bottom w:val="nil"/>
              <w:right w:val="nil"/>
            </w:tcBorders>
            <w:tcMar>
              <w:top w:w="60" w:type="dxa"/>
              <w:left w:w="80" w:type="dxa"/>
              <w:bottom w:w="60" w:type="dxa"/>
              <w:right w:w="80" w:type="dxa"/>
            </w:tcMar>
            <w:vAlign w:val="center"/>
          </w:tcPr>
          <w:p w14:paraId="2536B7A2" w14:textId="77777777" w:rsidR="007A2869" w:rsidRDefault="00000000">
            <w:pPr>
              <w:jc w:val="right"/>
            </w:pPr>
            <w:r>
              <w:rPr>
                <w:sz w:val="20"/>
                <w:szCs w:val="20"/>
              </w:rPr>
              <w:t>15%</w:t>
            </w:r>
          </w:p>
        </w:tc>
      </w:tr>
      <w:tr w:rsidR="007A2869" w14:paraId="2536B7A8"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7A4" w14:textId="77777777" w:rsidR="007A2869" w:rsidRDefault="00000000">
            <w:r>
              <w:rPr>
                <w:sz w:val="20"/>
                <w:szCs w:val="20"/>
              </w:rPr>
              <w:t>1</w:t>
            </w:r>
          </w:p>
        </w:tc>
        <w:tc>
          <w:tcPr>
            <w:tcW w:w="1800" w:type="dxa"/>
            <w:tcBorders>
              <w:top w:val="nil"/>
              <w:left w:val="nil"/>
              <w:bottom w:val="nil"/>
              <w:right w:val="nil"/>
            </w:tcBorders>
            <w:tcMar>
              <w:top w:w="60" w:type="dxa"/>
              <w:left w:w="80" w:type="dxa"/>
              <w:bottom w:w="60" w:type="dxa"/>
              <w:right w:w="80" w:type="dxa"/>
            </w:tcMar>
            <w:vAlign w:val="center"/>
          </w:tcPr>
          <w:p w14:paraId="2536B7A5" w14:textId="77777777" w:rsidR="007A2869" w:rsidRDefault="00000000">
            <w:r>
              <w:rPr>
                <w:sz w:val="20"/>
                <w:szCs w:val="20"/>
              </w:rPr>
              <w:t>Risk-on / Expansion</w:t>
            </w:r>
          </w:p>
        </w:tc>
        <w:tc>
          <w:tcPr>
            <w:tcW w:w="2000" w:type="dxa"/>
            <w:tcBorders>
              <w:top w:val="nil"/>
              <w:left w:val="nil"/>
              <w:bottom w:val="nil"/>
              <w:right w:val="nil"/>
            </w:tcBorders>
            <w:tcMar>
              <w:top w:w="60" w:type="dxa"/>
              <w:left w:w="80" w:type="dxa"/>
              <w:bottom w:w="60" w:type="dxa"/>
              <w:right w:w="80" w:type="dxa"/>
            </w:tcMar>
            <w:vAlign w:val="center"/>
          </w:tcPr>
          <w:p w14:paraId="2536B7A6" w14:textId="77777777" w:rsidR="007A2869" w:rsidRDefault="00000000">
            <w:pPr>
              <w:jc w:val="right"/>
            </w:pPr>
            <w:r>
              <w:rPr>
                <w:sz w:val="20"/>
                <w:szCs w:val="20"/>
              </w:rPr>
              <w:t>75%</w:t>
            </w:r>
          </w:p>
        </w:tc>
        <w:tc>
          <w:tcPr>
            <w:tcW w:w="3560" w:type="dxa"/>
            <w:tcBorders>
              <w:top w:val="nil"/>
              <w:left w:val="nil"/>
              <w:bottom w:val="nil"/>
              <w:right w:val="nil"/>
            </w:tcBorders>
            <w:tcMar>
              <w:top w:w="60" w:type="dxa"/>
              <w:left w:w="80" w:type="dxa"/>
              <w:bottom w:w="60" w:type="dxa"/>
              <w:right w:w="80" w:type="dxa"/>
            </w:tcMar>
            <w:vAlign w:val="center"/>
          </w:tcPr>
          <w:p w14:paraId="2536B7A7" w14:textId="77777777" w:rsidR="007A2869" w:rsidRDefault="00000000">
            <w:pPr>
              <w:jc w:val="right"/>
            </w:pPr>
            <w:r>
              <w:rPr>
                <w:sz w:val="20"/>
                <w:szCs w:val="20"/>
              </w:rPr>
              <w:t>10%</w:t>
            </w:r>
          </w:p>
        </w:tc>
      </w:tr>
      <w:tr w:rsidR="007A2869" w14:paraId="2536B7AD"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2536B7A9" w14:textId="77777777" w:rsidR="007A2869" w:rsidRDefault="00000000">
            <w:r>
              <w:rPr>
                <w:sz w:val="20"/>
                <w:szCs w:val="20"/>
              </w:rPr>
              <w:t>2</w:t>
            </w:r>
          </w:p>
        </w:tc>
        <w:tc>
          <w:tcPr>
            <w:tcW w:w="1800" w:type="dxa"/>
            <w:tcBorders>
              <w:top w:val="nil"/>
              <w:left w:val="nil"/>
              <w:bottom w:val="nil"/>
              <w:right w:val="nil"/>
            </w:tcBorders>
            <w:tcMar>
              <w:top w:w="60" w:type="dxa"/>
              <w:left w:w="80" w:type="dxa"/>
              <w:bottom w:w="60" w:type="dxa"/>
              <w:right w:w="80" w:type="dxa"/>
            </w:tcMar>
            <w:vAlign w:val="center"/>
          </w:tcPr>
          <w:p w14:paraId="2536B7AA" w14:textId="77777777" w:rsidR="007A2869" w:rsidRDefault="00000000">
            <w:r>
              <w:rPr>
                <w:sz w:val="20"/>
                <w:szCs w:val="20"/>
              </w:rPr>
              <w:t>Neutral / Moderate</w:t>
            </w:r>
          </w:p>
        </w:tc>
        <w:tc>
          <w:tcPr>
            <w:tcW w:w="2000" w:type="dxa"/>
            <w:tcBorders>
              <w:top w:val="nil"/>
              <w:left w:val="nil"/>
              <w:bottom w:val="nil"/>
              <w:right w:val="nil"/>
            </w:tcBorders>
            <w:tcMar>
              <w:top w:w="60" w:type="dxa"/>
              <w:left w:w="80" w:type="dxa"/>
              <w:bottom w:w="60" w:type="dxa"/>
              <w:right w:w="80" w:type="dxa"/>
            </w:tcMar>
            <w:vAlign w:val="center"/>
          </w:tcPr>
          <w:p w14:paraId="2536B7AB" w14:textId="77777777" w:rsidR="007A2869" w:rsidRDefault="00000000">
            <w:pPr>
              <w:jc w:val="right"/>
            </w:pPr>
            <w:r>
              <w:rPr>
                <w:sz w:val="20"/>
                <w:szCs w:val="20"/>
              </w:rPr>
              <w:t>60%</w:t>
            </w:r>
          </w:p>
        </w:tc>
        <w:tc>
          <w:tcPr>
            <w:tcW w:w="3560" w:type="dxa"/>
            <w:tcBorders>
              <w:top w:val="nil"/>
              <w:left w:val="nil"/>
              <w:bottom w:val="nil"/>
              <w:right w:val="nil"/>
            </w:tcBorders>
            <w:tcMar>
              <w:top w:w="60" w:type="dxa"/>
              <w:left w:w="80" w:type="dxa"/>
              <w:bottom w:w="60" w:type="dxa"/>
              <w:right w:w="80" w:type="dxa"/>
            </w:tcMar>
            <w:vAlign w:val="center"/>
          </w:tcPr>
          <w:p w14:paraId="2536B7AC" w14:textId="77777777" w:rsidR="007A2869" w:rsidRDefault="00000000">
            <w:pPr>
              <w:jc w:val="right"/>
            </w:pPr>
            <w:r>
              <w:rPr>
                <w:sz w:val="20"/>
                <w:szCs w:val="20"/>
              </w:rPr>
              <w:t>15%</w:t>
            </w:r>
          </w:p>
        </w:tc>
      </w:tr>
      <w:tr w:rsidR="007A2869" w14:paraId="2536B7B2" w14:textId="77777777">
        <w:tblPrEx>
          <w:tblCellMar>
            <w:top w:w="0" w:type="dxa"/>
            <w:bottom w:w="0" w:type="dxa"/>
          </w:tblCellMar>
        </w:tblPrEx>
        <w:tc>
          <w:tcPr>
            <w:tcW w:w="2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AE" w14:textId="77777777" w:rsidR="007A2869" w:rsidRDefault="00000000">
            <w:r>
              <w:rPr>
                <w:sz w:val="20"/>
                <w:szCs w:val="20"/>
              </w:rPr>
              <w:t>3</w:t>
            </w:r>
          </w:p>
        </w:tc>
        <w:tc>
          <w:tcPr>
            <w:tcW w:w="1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AF" w14:textId="77777777" w:rsidR="007A2869" w:rsidRDefault="00000000">
            <w:r>
              <w:rPr>
                <w:sz w:val="20"/>
                <w:szCs w:val="20"/>
              </w:rPr>
              <w:t>Elevated-risk / Stress</w:t>
            </w:r>
          </w:p>
        </w:tc>
        <w:tc>
          <w:tcPr>
            <w:tcW w:w="2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B0" w14:textId="77777777" w:rsidR="007A2869" w:rsidRDefault="00000000">
            <w:pPr>
              <w:jc w:val="right"/>
            </w:pPr>
            <w:r>
              <w:rPr>
                <w:sz w:val="20"/>
                <w:szCs w:val="20"/>
              </w:rPr>
              <w:t>45%</w:t>
            </w:r>
          </w:p>
        </w:tc>
        <w:tc>
          <w:tcPr>
            <w:tcW w:w="35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7B1" w14:textId="77777777" w:rsidR="007A2869" w:rsidRDefault="00000000">
            <w:pPr>
              <w:jc w:val="right"/>
            </w:pPr>
            <w:r>
              <w:rPr>
                <w:sz w:val="20"/>
                <w:szCs w:val="20"/>
              </w:rPr>
              <w:t>30%</w:t>
            </w:r>
          </w:p>
        </w:tc>
      </w:tr>
    </w:tbl>
    <w:p w14:paraId="2536B7B3" w14:textId="77777777" w:rsidR="007A2869" w:rsidRDefault="007A2869">
      <w:pPr>
        <w:spacing w:line="480" w:lineRule="auto"/>
      </w:pPr>
    </w:p>
    <w:p w14:paraId="2536B7B4" w14:textId="77777777" w:rsidR="007A2869" w:rsidRDefault="00000000">
      <w:pPr>
        <w:spacing w:before="240" w:after="240" w:line="480" w:lineRule="auto"/>
        <w:jc w:val="center"/>
      </w:pPr>
      <w:r>
        <w:rPr>
          <w:i/>
          <w:iCs/>
        </w:rPr>
        <w:t>Appendix D: Data Sources and Series Details</w:t>
      </w:r>
    </w:p>
    <w:p w14:paraId="2536B7B5" w14:textId="77777777" w:rsidR="007A2869" w:rsidRDefault="00000000">
      <w:pPr>
        <w:spacing w:line="480" w:lineRule="auto"/>
        <w:ind w:firstLine="720"/>
        <w:jc w:val="both"/>
      </w:pPr>
      <w:r>
        <w:t xml:space="preserve">All price series are sourced from LSEG Workspace (Refinitiv) as weekly Friday-close values unless noted. EURIBOR 3M is sourced from the ECB Statistical Data Warehouse. Eurozone Economic Sentiment Indicator is published monthly by the European Commission and interpolated to weekly frequency. HICP data are sourced from Eurostat. The Italy government bond series (RIC .FTIT_TSYUSDT) is denominated in EUR via LSEG currency conversion; the </w:t>
      </w:r>
      <w:r>
        <w:lastRenderedPageBreak/>
        <w:t>LSEG metadata field "Currency Conversion: EUR" confirms EUR delivery. All series are expressed in or converted to euros prior to return computation.</w:t>
      </w:r>
    </w:p>
    <w:p w14:paraId="2536B7B6" w14:textId="77777777" w:rsidR="007A2869" w:rsidRDefault="007A2869">
      <w:pPr>
        <w:spacing w:line="480" w:lineRule="auto"/>
      </w:pPr>
    </w:p>
    <w:p w14:paraId="2536B7B7" w14:textId="77777777" w:rsidR="007A2869" w:rsidRDefault="00000000">
      <w:pPr>
        <w:spacing w:before="240" w:after="240" w:line="480" w:lineRule="auto"/>
        <w:jc w:val="center"/>
      </w:pPr>
      <w:r>
        <w:rPr>
          <w:i/>
          <w:iCs/>
        </w:rPr>
        <w:t>Appendix E: Reproducibility</w:t>
      </w:r>
    </w:p>
    <w:p w14:paraId="2536B7B8" w14:textId="77777777" w:rsidR="007A2869" w:rsidRDefault="00000000">
      <w:pPr>
        <w:spacing w:line="480" w:lineRule="auto"/>
        <w:ind w:firstLine="720"/>
        <w:jc w:val="both"/>
      </w:pPr>
      <w:r>
        <w:t>All results are generated from a Python codebase (Python 3.11, hmmlearn 0.3.2, scipy 1.13, scikit-learn 1.5, pandas 2.2). The canonical run order is: (1) data pipeline and validation, (2) walk-forward HMM regime estimation, (3) Panel A backtest, (4) Panel B backtest, (5) statistical tests, (6) robustness checks (scripts 10 to 15), (7) FI-expanded universe (scripts 16 to 18). Random seeds are fixed (numpy seed = 42); HMM initialization uses 15 restarts with fixed seed. Raw LSEG source files are subject to data licensing restrictions and cannot be publicly shared; processed parquet files should be treated with equivalent care.</w:t>
      </w:r>
    </w:p>
    <w:p w14:paraId="2536B7B9" w14:textId="77777777" w:rsidR="007A2869" w:rsidRDefault="007A2869">
      <w:pPr>
        <w:spacing w:line="480" w:lineRule="auto"/>
      </w:pPr>
    </w:p>
    <w:p w14:paraId="2536B7BA" w14:textId="77777777" w:rsidR="007A2869" w:rsidRDefault="00000000">
      <w:pPr>
        <w:spacing w:before="240" w:after="240" w:line="480" w:lineRule="auto"/>
        <w:jc w:val="center"/>
      </w:pPr>
      <w:r>
        <w:rPr>
          <w:i/>
          <w:iCs/>
        </w:rPr>
        <w:t>Appendix F: Asset Return Descriptive Statistics and Correlations</w:t>
      </w:r>
    </w:p>
    <w:p w14:paraId="2536B7BB" w14:textId="77777777" w:rsidR="007A2869" w:rsidRDefault="00000000">
      <w:pPr>
        <w:spacing w:line="480" w:lineRule="auto"/>
        <w:ind w:firstLine="720"/>
        <w:jc w:val="both"/>
      </w:pPr>
      <w:r>
        <w:t xml:space="preserve">Table F.1 reports annualized summary statistics for the ten risky assets in the baseline investable universe. Statistics are computed from weekly simple returns over January 2000 to April 2026 (approximately 1,370 weekly observations). CAGR and volatility are annualized by factors of 52 and sqrt(52), respectively. Excess kurtosis is reported relative to the normal distribution (kurtosis = 0 for normal). MaxDD is peak-to-trough drawdown over the full sample. All six European equity indices exhibit negative skewness and excess kurtosis consistent with fat-tailed </w:t>
      </w:r>
      <w:r>
        <w:lastRenderedPageBreak/>
        <w:t>return distributions. Brent crude oil has the highest volatility (35.95%) and the most extreme kurtosis (9.51), reflecting periodic supply-shock spikes. Gold and Bloomberg Commodity exhibit near-zero skewness, consistent with their role as diversifying assets in the CVaR LP.</w:t>
      </w:r>
    </w:p>
    <w:p w14:paraId="2536B7BC" w14:textId="77777777" w:rsidR="007A2869" w:rsidRDefault="007A2869">
      <w:pPr>
        <w:spacing w:line="480" w:lineRule="auto"/>
      </w:pPr>
    </w:p>
    <w:p w14:paraId="2536B7BD" w14:textId="77777777" w:rsidR="007A2869" w:rsidRDefault="00000000">
      <w:pPr>
        <w:keepNext/>
        <w:spacing w:before="480" w:line="300" w:lineRule="auto"/>
      </w:pPr>
      <w:r>
        <w:rPr>
          <w:b/>
          <w:bCs/>
          <w:sz w:val="22"/>
          <w:szCs w:val="22"/>
        </w:rPr>
        <w:t>TABLE F.1</w:t>
      </w:r>
    </w:p>
    <w:p w14:paraId="2536B7BE" w14:textId="77777777" w:rsidR="007A2869" w:rsidRDefault="00000000">
      <w:pPr>
        <w:keepNext/>
        <w:spacing w:after="60" w:line="300" w:lineRule="auto"/>
      </w:pPr>
      <w:r>
        <w:rPr>
          <w:sz w:val="22"/>
          <w:szCs w:val="22"/>
        </w:rPr>
        <w:t>Descriptive Statistics: Risky Asset Returns, January 2000 to April 2026</w:t>
      </w:r>
    </w:p>
    <w:p w14:paraId="2536B7BF" w14:textId="77777777" w:rsidR="007A2869" w:rsidRDefault="00000000">
      <w:pPr>
        <w:keepNext/>
        <w:spacing w:before="60" w:after="120" w:line="276" w:lineRule="auto"/>
      </w:pPr>
      <w:r>
        <w:rPr>
          <w:sz w:val="18"/>
          <w:szCs w:val="18"/>
        </w:rPr>
        <w:t>Weekly simple returns, approximately 1,370 observations. CAGR = compound annual growth rate (weekly compounding, factor 52). Vol = annualized standard deviation (* sqrt(52)). Skewness and excess kurtosis computed from weekly return distribution. MaxDD = peak-to-trough maximum drawdown over full sample. Annualization factor: 52 weeks per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5"/>
        <w:gridCol w:w="1260"/>
        <w:gridCol w:w="1133"/>
        <w:gridCol w:w="1224"/>
        <w:gridCol w:w="1133"/>
        <w:gridCol w:w="1335"/>
      </w:tblGrid>
      <w:tr w:rsidR="007A2869" w14:paraId="2536B7C6" w14:textId="77777777">
        <w:tblPrEx>
          <w:tblCellMar>
            <w:top w:w="0" w:type="dxa"/>
            <w:bottom w:w="0" w:type="dxa"/>
          </w:tblCellMar>
        </w:tblPrEx>
        <w:trPr>
          <w:tblHeader/>
        </w:trPr>
        <w:tc>
          <w:tcPr>
            <w:tcW w:w="26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C0" w14:textId="77777777" w:rsidR="007A2869" w:rsidRDefault="00000000">
            <w:r>
              <w:rPr>
                <w:b/>
                <w:bCs/>
                <w:sz w:val="20"/>
                <w:szCs w:val="20"/>
              </w:rPr>
              <w:t>Asset</w:t>
            </w:r>
          </w:p>
        </w:tc>
        <w:tc>
          <w:tcPr>
            <w:tcW w:w="1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C1" w14:textId="77777777" w:rsidR="007A2869" w:rsidRDefault="00000000">
            <w:pPr>
              <w:jc w:val="right"/>
            </w:pPr>
            <w:r>
              <w:rPr>
                <w:b/>
                <w:bCs/>
                <w:sz w:val="20"/>
                <w:szCs w:val="20"/>
              </w:rPr>
              <w:t>CAGR%</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C2" w14:textId="77777777" w:rsidR="007A2869" w:rsidRDefault="00000000">
            <w:pPr>
              <w:jc w:val="right"/>
            </w:pPr>
            <w:r>
              <w:rPr>
                <w:b/>
                <w:bCs/>
                <w:sz w:val="20"/>
                <w:szCs w:val="20"/>
              </w:rPr>
              <w:t>Vol%</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C3" w14:textId="77777777" w:rsidR="007A2869" w:rsidRDefault="00000000">
            <w:pPr>
              <w:jc w:val="right"/>
            </w:pPr>
            <w:r>
              <w:rPr>
                <w:b/>
                <w:bCs/>
                <w:sz w:val="20"/>
                <w:szCs w:val="20"/>
              </w:rPr>
              <w:t>Skewness</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C4" w14:textId="77777777" w:rsidR="007A2869" w:rsidRDefault="00000000">
            <w:pPr>
              <w:jc w:val="right"/>
            </w:pPr>
            <w:r>
              <w:rPr>
                <w:b/>
                <w:bCs/>
                <w:sz w:val="20"/>
                <w:szCs w:val="20"/>
              </w:rPr>
              <w:t>Ex. Kurt</w:t>
            </w:r>
          </w:p>
        </w:tc>
        <w:tc>
          <w:tcPr>
            <w:tcW w:w="10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7C5" w14:textId="77777777" w:rsidR="007A2869" w:rsidRDefault="00000000">
            <w:pPr>
              <w:jc w:val="right"/>
            </w:pPr>
            <w:r>
              <w:rPr>
                <w:b/>
                <w:bCs/>
                <w:sz w:val="20"/>
                <w:szCs w:val="20"/>
              </w:rPr>
              <w:t>MaxDD%</w:t>
            </w:r>
          </w:p>
        </w:tc>
      </w:tr>
      <w:tr w:rsidR="007A2869" w14:paraId="2536B7CD"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2536B7C7" w14:textId="77777777" w:rsidR="007A2869" w:rsidRDefault="00000000">
            <w:r>
              <w:rPr>
                <w:sz w:val="20"/>
                <w:szCs w:val="20"/>
              </w:rPr>
              <w:t>Bloomberg Commodity</w:t>
            </w:r>
          </w:p>
        </w:tc>
        <w:tc>
          <w:tcPr>
            <w:tcW w:w="1000" w:type="dxa"/>
            <w:tcBorders>
              <w:top w:val="nil"/>
              <w:left w:val="nil"/>
              <w:bottom w:val="nil"/>
              <w:right w:val="nil"/>
            </w:tcBorders>
            <w:tcMar>
              <w:top w:w="60" w:type="dxa"/>
              <w:left w:w="80" w:type="dxa"/>
              <w:bottom w:w="60" w:type="dxa"/>
              <w:right w:w="80" w:type="dxa"/>
            </w:tcMar>
            <w:vAlign w:val="center"/>
          </w:tcPr>
          <w:p w14:paraId="2536B7C8" w14:textId="77777777" w:rsidR="007A2869" w:rsidRDefault="00000000">
            <w:pPr>
              <w:jc w:val="right"/>
            </w:pPr>
            <w:r>
              <w:rPr>
                <w:sz w:val="20"/>
                <w:szCs w:val="20"/>
              </w:rPr>
              <w:t>2.25</w:t>
            </w:r>
          </w:p>
        </w:tc>
        <w:tc>
          <w:tcPr>
            <w:tcW w:w="900" w:type="dxa"/>
            <w:tcBorders>
              <w:top w:val="nil"/>
              <w:left w:val="nil"/>
              <w:bottom w:val="nil"/>
              <w:right w:val="nil"/>
            </w:tcBorders>
            <w:tcMar>
              <w:top w:w="60" w:type="dxa"/>
              <w:left w:w="80" w:type="dxa"/>
              <w:bottom w:w="60" w:type="dxa"/>
              <w:right w:w="80" w:type="dxa"/>
            </w:tcMar>
            <w:vAlign w:val="center"/>
          </w:tcPr>
          <w:p w14:paraId="2536B7C9" w14:textId="77777777" w:rsidR="007A2869" w:rsidRDefault="00000000">
            <w:pPr>
              <w:jc w:val="right"/>
            </w:pPr>
            <w:r>
              <w:rPr>
                <w:sz w:val="20"/>
                <w:szCs w:val="20"/>
              </w:rPr>
              <w:t>15.44</w:t>
            </w:r>
          </w:p>
        </w:tc>
        <w:tc>
          <w:tcPr>
            <w:tcW w:w="900" w:type="dxa"/>
            <w:tcBorders>
              <w:top w:val="nil"/>
              <w:left w:val="nil"/>
              <w:bottom w:val="nil"/>
              <w:right w:val="nil"/>
            </w:tcBorders>
            <w:tcMar>
              <w:top w:w="60" w:type="dxa"/>
              <w:left w:w="80" w:type="dxa"/>
              <w:bottom w:w="60" w:type="dxa"/>
              <w:right w:w="80" w:type="dxa"/>
            </w:tcMar>
            <w:vAlign w:val="center"/>
          </w:tcPr>
          <w:p w14:paraId="2536B7CA" w14:textId="77777777" w:rsidR="007A2869" w:rsidRDefault="00000000">
            <w:pPr>
              <w:jc w:val="right"/>
            </w:pPr>
            <w:r>
              <w:rPr>
                <w:sz w:val="20"/>
                <w:szCs w:val="20"/>
              </w:rPr>
              <w:t>-0.10</w:t>
            </w:r>
          </w:p>
        </w:tc>
        <w:tc>
          <w:tcPr>
            <w:tcW w:w="900" w:type="dxa"/>
            <w:tcBorders>
              <w:top w:val="nil"/>
              <w:left w:val="nil"/>
              <w:bottom w:val="nil"/>
              <w:right w:val="nil"/>
            </w:tcBorders>
            <w:tcMar>
              <w:top w:w="60" w:type="dxa"/>
              <w:left w:w="80" w:type="dxa"/>
              <w:bottom w:w="60" w:type="dxa"/>
              <w:right w:w="80" w:type="dxa"/>
            </w:tcMar>
            <w:vAlign w:val="center"/>
          </w:tcPr>
          <w:p w14:paraId="2536B7CB" w14:textId="77777777" w:rsidR="007A2869" w:rsidRDefault="00000000">
            <w:pPr>
              <w:jc w:val="right"/>
            </w:pPr>
            <w:r>
              <w:rPr>
                <w:sz w:val="20"/>
                <w:szCs w:val="20"/>
              </w:rPr>
              <w:t>5.36</w:t>
            </w:r>
          </w:p>
        </w:tc>
        <w:tc>
          <w:tcPr>
            <w:tcW w:w="1060" w:type="dxa"/>
            <w:tcBorders>
              <w:top w:val="nil"/>
              <w:left w:val="nil"/>
              <w:bottom w:val="nil"/>
              <w:right w:val="nil"/>
            </w:tcBorders>
            <w:tcMar>
              <w:top w:w="60" w:type="dxa"/>
              <w:left w:w="80" w:type="dxa"/>
              <w:bottom w:w="60" w:type="dxa"/>
              <w:right w:w="80" w:type="dxa"/>
            </w:tcMar>
            <w:vAlign w:val="center"/>
          </w:tcPr>
          <w:p w14:paraId="2536B7CC" w14:textId="77777777" w:rsidR="007A2869" w:rsidRDefault="00000000">
            <w:pPr>
              <w:jc w:val="right"/>
            </w:pPr>
            <w:r>
              <w:rPr>
                <w:sz w:val="20"/>
                <w:szCs w:val="20"/>
              </w:rPr>
              <w:t>-63.6</w:t>
            </w:r>
          </w:p>
        </w:tc>
      </w:tr>
      <w:tr w:rsidR="007A2869" w14:paraId="2536B7D4"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2536B7CE" w14:textId="77777777" w:rsidR="007A2869" w:rsidRDefault="00000000">
            <w:r>
              <w:rPr>
                <w:sz w:val="20"/>
                <w:szCs w:val="20"/>
              </w:rPr>
              <w:t>Brent Crude Oil</w:t>
            </w:r>
          </w:p>
        </w:tc>
        <w:tc>
          <w:tcPr>
            <w:tcW w:w="1000" w:type="dxa"/>
            <w:tcBorders>
              <w:top w:val="nil"/>
              <w:left w:val="nil"/>
              <w:bottom w:val="nil"/>
              <w:right w:val="nil"/>
            </w:tcBorders>
            <w:tcMar>
              <w:top w:w="60" w:type="dxa"/>
              <w:left w:w="80" w:type="dxa"/>
              <w:bottom w:w="60" w:type="dxa"/>
              <w:right w:w="80" w:type="dxa"/>
            </w:tcMar>
            <w:vAlign w:val="center"/>
          </w:tcPr>
          <w:p w14:paraId="2536B7CF" w14:textId="77777777" w:rsidR="007A2869" w:rsidRDefault="00000000">
            <w:pPr>
              <w:jc w:val="right"/>
            </w:pPr>
            <w:r>
              <w:rPr>
                <w:sz w:val="20"/>
                <w:szCs w:val="20"/>
              </w:rPr>
              <w:t>12.22</w:t>
            </w:r>
          </w:p>
        </w:tc>
        <w:tc>
          <w:tcPr>
            <w:tcW w:w="900" w:type="dxa"/>
            <w:tcBorders>
              <w:top w:val="nil"/>
              <w:left w:val="nil"/>
              <w:bottom w:val="nil"/>
              <w:right w:val="nil"/>
            </w:tcBorders>
            <w:tcMar>
              <w:top w:w="60" w:type="dxa"/>
              <w:left w:w="80" w:type="dxa"/>
              <w:bottom w:w="60" w:type="dxa"/>
              <w:right w:w="80" w:type="dxa"/>
            </w:tcMar>
            <w:vAlign w:val="center"/>
          </w:tcPr>
          <w:p w14:paraId="2536B7D0" w14:textId="77777777" w:rsidR="007A2869" w:rsidRDefault="00000000">
            <w:pPr>
              <w:jc w:val="right"/>
            </w:pPr>
            <w:r>
              <w:rPr>
                <w:sz w:val="20"/>
                <w:szCs w:val="20"/>
              </w:rPr>
              <w:t>35.95</w:t>
            </w:r>
          </w:p>
        </w:tc>
        <w:tc>
          <w:tcPr>
            <w:tcW w:w="900" w:type="dxa"/>
            <w:tcBorders>
              <w:top w:val="nil"/>
              <w:left w:val="nil"/>
              <w:bottom w:val="nil"/>
              <w:right w:val="nil"/>
            </w:tcBorders>
            <w:tcMar>
              <w:top w:w="60" w:type="dxa"/>
              <w:left w:w="80" w:type="dxa"/>
              <w:bottom w:w="60" w:type="dxa"/>
              <w:right w:w="80" w:type="dxa"/>
            </w:tcMar>
            <w:vAlign w:val="center"/>
          </w:tcPr>
          <w:p w14:paraId="2536B7D1" w14:textId="77777777" w:rsidR="007A2869" w:rsidRDefault="00000000">
            <w:pPr>
              <w:jc w:val="right"/>
            </w:pPr>
            <w:r>
              <w:rPr>
                <w:sz w:val="20"/>
                <w:szCs w:val="20"/>
              </w:rPr>
              <w:t>+0.26</w:t>
            </w:r>
          </w:p>
        </w:tc>
        <w:tc>
          <w:tcPr>
            <w:tcW w:w="900" w:type="dxa"/>
            <w:tcBorders>
              <w:top w:val="nil"/>
              <w:left w:val="nil"/>
              <w:bottom w:val="nil"/>
              <w:right w:val="nil"/>
            </w:tcBorders>
            <w:tcMar>
              <w:top w:w="60" w:type="dxa"/>
              <w:left w:w="80" w:type="dxa"/>
              <w:bottom w:w="60" w:type="dxa"/>
              <w:right w:w="80" w:type="dxa"/>
            </w:tcMar>
            <w:vAlign w:val="center"/>
          </w:tcPr>
          <w:p w14:paraId="2536B7D2" w14:textId="77777777" w:rsidR="007A2869" w:rsidRDefault="00000000">
            <w:pPr>
              <w:jc w:val="right"/>
            </w:pPr>
            <w:r>
              <w:rPr>
                <w:sz w:val="20"/>
                <w:szCs w:val="20"/>
              </w:rPr>
              <w:t>9.51</w:t>
            </w:r>
          </w:p>
        </w:tc>
        <w:tc>
          <w:tcPr>
            <w:tcW w:w="1060" w:type="dxa"/>
            <w:tcBorders>
              <w:top w:val="nil"/>
              <w:left w:val="nil"/>
              <w:bottom w:val="nil"/>
              <w:right w:val="nil"/>
            </w:tcBorders>
            <w:tcMar>
              <w:top w:w="60" w:type="dxa"/>
              <w:left w:w="80" w:type="dxa"/>
              <w:bottom w:w="60" w:type="dxa"/>
              <w:right w:w="80" w:type="dxa"/>
            </w:tcMar>
            <w:vAlign w:val="center"/>
          </w:tcPr>
          <w:p w14:paraId="2536B7D3" w14:textId="77777777" w:rsidR="007A2869" w:rsidRDefault="00000000">
            <w:pPr>
              <w:jc w:val="right"/>
            </w:pPr>
            <w:r>
              <w:rPr>
                <w:sz w:val="20"/>
                <w:szCs w:val="20"/>
              </w:rPr>
              <w:t>-79.4</w:t>
            </w:r>
          </w:p>
        </w:tc>
      </w:tr>
      <w:tr w:rsidR="007A2869" w14:paraId="2536B7DB"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2536B7D5" w14:textId="77777777" w:rsidR="007A2869" w:rsidRDefault="00000000">
            <w:r>
              <w:rPr>
                <w:sz w:val="20"/>
                <w:szCs w:val="20"/>
              </w:rPr>
              <w:t>Gold</w:t>
            </w:r>
          </w:p>
        </w:tc>
        <w:tc>
          <w:tcPr>
            <w:tcW w:w="1000" w:type="dxa"/>
            <w:tcBorders>
              <w:top w:val="nil"/>
              <w:left w:val="nil"/>
              <w:bottom w:val="nil"/>
              <w:right w:val="nil"/>
            </w:tcBorders>
            <w:tcMar>
              <w:top w:w="60" w:type="dxa"/>
              <w:left w:w="80" w:type="dxa"/>
              <w:bottom w:w="60" w:type="dxa"/>
              <w:right w:w="80" w:type="dxa"/>
            </w:tcMar>
            <w:vAlign w:val="center"/>
          </w:tcPr>
          <w:p w14:paraId="2536B7D6" w14:textId="77777777" w:rsidR="007A2869" w:rsidRDefault="00000000">
            <w:pPr>
              <w:jc w:val="right"/>
            </w:pPr>
            <w:r>
              <w:rPr>
                <w:sz w:val="20"/>
                <w:szCs w:val="20"/>
              </w:rPr>
              <w:t>12.08</w:t>
            </w:r>
          </w:p>
        </w:tc>
        <w:tc>
          <w:tcPr>
            <w:tcW w:w="900" w:type="dxa"/>
            <w:tcBorders>
              <w:top w:val="nil"/>
              <w:left w:val="nil"/>
              <w:bottom w:val="nil"/>
              <w:right w:val="nil"/>
            </w:tcBorders>
            <w:tcMar>
              <w:top w:w="60" w:type="dxa"/>
              <w:left w:w="80" w:type="dxa"/>
              <w:bottom w:w="60" w:type="dxa"/>
              <w:right w:w="80" w:type="dxa"/>
            </w:tcMar>
            <w:vAlign w:val="center"/>
          </w:tcPr>
          <w:p w14:paraId="2536B7D7" w14:textId="77777777" w:rsidR="007A2869" w:rsidRDefault="00000000">
            <w:pPr>
              <w:jc w:val="right"/>
            </w:pPr>
            <w:r>
              <w:rPr>
                <w:sz w:val="20"/>
                <w:szCs w:val="20"/>
              </w:rPr>
              <w:t>16.77</w:t>
            </w:r>
          </w:p>
        </w:tc>
        <w:tc>
          <w:tcPr>
            <w:tcW w:w="900" w:type="dxa"/>
            <w:tcBorders>
              <w:top w:val="nil"/>
              <w:left w:val="nil"/>
              <w:bottom w:val="nil"/>
              <w:right w:val="nil"/>
            </w:tcBorders>
            <w:tcMar>
              <w:top w:w="60" w:type="dxa"/>
              <w:left w:w="80" w:type="dxa"/>
              <w:bottom w:w="60" w:type="dxa"/>
              <w:right w:w="80" w:type="dxa"/>
            </w:tcMar>
            <w:vAlign w:val="center"/>
          </w:tcPr>
          <w:p w14:paraId="2536B7D8" w14:textId="77777777" w:rsidR="007A2869" w:rsidRDefault="00000000">
            <w:pPr>
              <w:jc w:val="right"/>
            </w:pPr>
            <w:r>
              <w:rPr>
                <w:sz w:val="20"/>
                <w:szCs w:val="20"/>
              </w:rPr>
              <w:t>-0.06</w:t>
            </w:r>
          </w:p>
        </w:tc>
        <w:tc>
          <w:tcPr>
            <w:tcW w:w="900" w:type="dxa"/>
            <w:tcBorders>
              <w:top w:val="nil"/>
              <w:left w:val="nil"/>
              <w:bottom w:val="nil"/>
              <w:right w:val="nil"/>
            </w:tcBorders>
            <w:tcMar>
              <w:top w:w="60" w:type="dxa"/>
              <w:left w:w="80" w:type="dxa"/>
              <w:bottom w:w="60" w:type="dxa"/>
              <w:right w:w="80" w:type="dxa"/>
            </w:tcMar>
            <w:vAlign w:val="center"/>
          </w:tcPr>
          <w:p w14:paraId="2536B7D9" w14:textId="77777777" w:rsidR="007A2869" w:rsidRDefault="00000000">
            <w:pPr>
              <w:jc w:val="right"/>
            </w:pPr>
            <w:r>
              <w:rPr>
                <w:sz w:val="20"/>
                <w:szCs w:val="20"/>
              </w:rPr>
              <w:t>5.33</w:t>
            </w:r>
          </w:p>
        </w:tc>
        <w:tc>
          <w:tcPr>
            <w:tcW w:w="1060" w:type="dxa"/>
            <w:tcBorders>
              <w:top w:val="nil"/>
              <w:left w:val="nil"/>
              <w:bottom w:val="nil"/>
              <w:right w:val="nil"/>
            </w:tcBorders>
            <w:tcMar>
              <w:top w:w="60" w:type="dxa"/>
              <w:left w:w="80" w:type="dxa"/>
              <w:bottom w:w="60" w:type="dxa"/>
              <w:right w:w="80" w:type="dxa"/>
            </w:tcMar>
            <w:vAlign w:val="center"/>
          </w:tcPr>
          <w:p w14:paraId="2536B7DA" w14:textId="77777777" w:rsidR="007A2869" w:rsidRDefault="00000000">
            <w:pPr>
              <w:jc w:val="right"/>
            </w:pPr>
            <w:r>
              <w:rPr>
                <w:sz w:val="20"/>
                <w:szCs w:val="20"/>
              </w:rPr>
              <w:t>-43.8</w:t>
            </w:r>
          </w:p>
        </w:tc>
      </w:tr>
      <w:tr w:rsidR="007A2869" w14:paraId="2536B7E2"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2536B7DC" w14:textId="77777777" w:rsidR="007A2869" w:rsidRDefault="00000000">
            <w:r>
              <w:rPr>
                <w:sz w:val="20"/>
                <w:szCs w:val="20"/>
              </w:rPr>
              <w:t>CAC 40</w:t>
            </w:r>
          </w:p>
        </w:tc>
        <w:tc>
          <w:tcPr>
            <w:tcW w:w="1000" w:type="dxa"/>
            <w:tcBorders>
              <w:top w:val="nil"/>
              <w:left w:val="nil"/>
              <w:bottom w:val="nil"/>
              <w:right w:val="nil"/>
            </w:tcBorders>
            <w:tcMar>
              <w:top w:w="60" w:type="dxa"/>
              <w:left w:w="80" w:type="dxa"/>
              <w:bottom w:w="60" w:type="dxa"/>
              <w:right w:w="80" w:type="dxa"/>
            </w:tcMar>
            <w:vAlign w:val="center"/>
          </w:tcPr>
          <w:p w14:paraId="2536B7DD" w14:textId="77777777" w:rsidR="007A2869" w:rsidRDefault="00000000">
            <w:pPr>
              <w:jc w:val="right"/>
            </w:pPr>
            <w:r>
              <w:rPr>
                <w:sz w:val="20"/>
                <w:szCs w:val="20"/>
              </w:rPr>
              <w:t>3.47</w:t>
            </w:r>
          </w:p>
        </w:tc>
        <w:tc>
          <w:tcPr>
            <w:tcW w:w="900" w:type="dxa"/>
            <w:tcBorders>
              <w:top w:val="nil"/>
              <w:left w:val="nil"/>
              <w:bottom w:val="nil"/>
              <w:right w:val="nil"/>
            </w:tcBorders>
            <w:tcMar>
              <w:top w:w="60" w:type="dxa"/>
              <w:left w:w="80" w:type="dxa"/>
              <w:bottom w:w="60" w:type="dxa"/>
              <w:right w:w="80" w:type="dxa"/>
            </w:tcMar>
            <w:vAlign w:val="center"/>
          </w:tcPr>
          <w:p w14:paraId="2536B7DE" w14:textId="77777777" w:rsidR="007A2869" w:rsidRDefault="00000000">
            <w:pPr>
              <w:jc w:val="right"/>
            </w:pPr>
            <w:r>
              <w:rPr>
                <w:sz w:val="20"/>
                <w:szCs w:val="20"/>
              </w:rPr>
              <w:t>20.64</w:t>
            </w:r>
          </w:p>
        </w:tc>
        <w:tc>
          <w:tcPr>
            <w:tcW w:w="900" w:type="dxa"/>
            <w:tcBorders>
              <w:top w:val="nil"/>
              <w:left w:val="nil"/>
              <w:bottom w:val="nil"/>
              <w:right w:val="nil"/>
            </w:tcBorders>
            <w:tcMar>
              <w:top w:w="60" w:type="dxa"/>
              <w:left w:w="80" w:type="dxa"/>
              <w:bottom w:w="60" w:type="dxa"/>
              <w:right w:w="80" w:type="dxa"/>
            </w:tcMar>
            <w:vAlign w:val="center"/>
          </w:tcPr>
          <w:p w14:paraId="2536B7DF" w14:textId="77777777" w:rsidR="007A2869" w:rsidRDefault="00000000">
            <w:pPr>
              <w:jc w:val="right"/>
            </w:pPr>
            <w:r>
              <w:rPr>
                <w:sz w:val="20"/>
                <w:szCs w:val="20"/>
              </w:rPr>
              <w:t>-0.73</w:t>
            </w:r>
          </w:p>
        </w:tc>
        <w:tc>
          <w:tcPr>
            <w:tcW w:w="900" w:type="dxa"/>
            <w:tcBorders>
              <w:top w:val="nil"/>
              <w:left w:val="nil"/>
              <w:bottom w:val="nil"/>
              <w:right w:val="nil"/>
            </w:tcBorders>
            <w:tcMar>
              <w:top w:w="60" w:type="dxa"/>
              <w:left w:w="80" w:type="dxa"/>
              <w:bottom w:w="60" w:type="dxa"/>
              <w:right w:w="80" w:type="dxa"/>
            </w:tcMar>
            <w:vAlign w:val="center"/>
          </w:tcPr>
          <w:p w14:paraId="2536B7E0" w14:textId="77777777" w:rsidR="007A2869" w:rsidRDefault="00000000">
            <w:pPr>
              <w:jc w:val="right"/>
            </w:pPr>
            <w:r>
              <w:rPr>
                <w:sz w:val="20"/>
                <w:szCs w:val="20"/>
              </w:rPr>
              <w:t>8.78</w:t>
            </w:r>
          </w:p>
        </w:tc>
        <w:tc>
          <w:tcPr>
            <w:tcW w:w="1060" w:type="dxa"/>
            <w:tcBorders>
              <w:top w:val="nil"/>
              <w:left w:val="nil"/>
              <w:bottom w:val="nil"/>
              <w:right w:val="nil"/>
            </w:tcBorders>
            <w:tcMar>
              <w:top w:w="60" w:type="dxa"/>
              <w:left w:w="80" w:type="dxa"/>
              <w:bottom w:w="60" w:type="dxa"/>
              <w:right w:w="80" w:type="dxa"/>
            </w:tcMar>
            <w:vAlign w:val="center"/>
          </w:tcPr>
          <w:p w14:paraId="2536B7E1" w14:textId="77777777" w:rsidR="007A2869" w:rsidRDefault="00000000">
            <w:pPr>
              <w:jc w:val="right"/>
            </w:pPr>
            <w:r>
              <w:rPr>
                <w:sz w:val="20"/>
                <w:szCs w:val="20"/>
              </w:rPr>
              <w:t>-62.8</w:t>
            </w:r>
          </w:p>
        </w:tc>
      </w:tr>
      <w:tr w:rsidR="007A2869" w14:paraId="2536B7E9"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2536B7E3" w14:textId="77777777" w:rsidR="007A2869" w:rsidRDefault="00000000">
            <w:r>
              <w:rPr>
                <w:sz w:val="20"/>
                <w:szCs w:val="20"/>
              </w:rPr>
              <w:t>DAX</w:t>
            </w:r>
          </w:p>
        </w:tc>
        <w:tc>
          <w:tcPr>
            <w:tcW w:w="1000" w:type="dxa"/>
            <w:tcBorders>
              <w:top w:val="nil"/>
              <w:left w:val="nil"/>
              <w:bottom w:val="nil"/>
              <w:right w:val="nil"/>
            </w:tcBorders>
            <w:tcMar>
              <w:top w:w="60" w:type="dxa"/>
              <w:left w:w="80" w:type="dxa"/>
              <w:bottom w:w="60" w:type="dxa"/>
              <w:right w:w="80" w:type="dxa"/>
            </w:tcMar>
            <w:vAlign w:val="center"/>
          </w:tcPr>
          <w:p w14:paraId="2536B7E4" w14:textId="77777777" w:rsidR="007A2869" w:rsidRDefault="00000000">
            <w:pPr>
              <w:jc w:val="right"/>
            </w:pPr>
            <w:r>
              <w:rPr>
                <w:sz w:val="20"/>
                <w:szCs w:val="20"/>
              </w:rPr>
              <w:t>7.03</w:t>
            </w:r>
          </w:p>
        </w:tc>
        <w:tc>
          <w:tcPr>
            <w:tcW w:w="900" w:type="dxa"/>
            <w:tcBorders>
              <w:top w:val="nil"/>
              <w:left w:val="nil"/>
              <w:bottom w:val="nil"/>
              <w:right w:val="nil"/>
            </w:tcBorders>
            <w:tcMar>
              <w:top w:w="60" w:type="dxa"/>
              <w:left w:w="80" w:type="dxa"/>
              <w:bottom w:w="60" w:type="dxa"/>
              <w:right w:w="80" w:type="dxa"/>
            </w:tcMar>
            <w:vAlign w:val="center"/>
          </w:tcPr>
          <w:p w14:paraId="2536B7E5" w14:textId="77777777" w:rsidR="007A2869" w:rsidRDefault="00000000">
            <w:pPr>
              <w:jc w:val="right"/>
            </w:pPr>
            <w:r>
              <w:rPr>
                <w:sz w:val="20"/>
                <w:szCs w:val="20"/>
              </w:rPr>
              <w:t>21.97</w:t>
            </w:r>
          </w:p>
        </w:tc>
        <w:tc>
          <w:tcPr>
            <w:tcW w:w="900" w:type="dxa"/>
            <w:tcBorders>
              <w:top w:val="nil"/>
              <w:left w:val="nil"/>
              <w:bottom w:val="nil"/>
              <w:right w:val="nil"/>
            </w:tcBorders>
            <w:tcMar>
              <w:top w:w="60" w:type="dxa"/>
              <w:left w:w="80" w:type="dxa"/>
              <w:bottom w:w="60" w:type="dxa"/>
              <w:right w:w="80" w:type="dxa"/>
            </w:tcMar>
            <w:vAlign w:val="center"/>
          </w:tcPr>
          <w:p w14:paraId="2536B7E6" w14:textId="77777777" w:rsidR="007A2869" w:rsidRDefault="00000000">
            <w:pPr>
              <w:jc w:val="right"/>
            </w:pPr>
            <w:r>
              <w:rPr>
                <w:sz w:val="20"/>
                <w:szCs w:val="20"/>
              </w:rPr>
              <w:t>-0.54</w:t>
            </w:r>
          </w:p>
        </w:tc>
        <w:tc>
          <w:tcPr>
            <w:tcW w:w="900" w:type="dxa"/>
            <w:tcBorders>
              <w:top w:val="nil"/>
              <w:left w:val="nil"/>
              <w:bottom w:val="nil"/>
              <w:right w:val="nil"/>
            </w:tcBorders>
            <w:tcMar>
              <w:top w:w="60" w:type="dxa"/>
              <w:left w:w="80" w:type="dxa"/>
              <w:bottom w:w="60" w:type="dxa"/>
              <w:right w:w="80" w:type="dxa"/>
            </w:tcMar>
            <w:vAlign w:val="center"/>
          </w:tcPr>
          <w:p w14:paraId="2536B7E7" w14:textId="77777777" w:rsidR="007A2869" w:rsidRDefault="00000000">
            <w:pPr>
              <w:jc w:val="right"/>
            </w:pPr>
            <w:r>
              <w:rPr>
                <w:sz w:val="20"/>
                <w:szCs w:val="20"/>
              </w:rPr>
              <w:t>8.31</w:t>
            </w:r>
          </w:p>
        </w:tc>
        <w:tc>
          <w:tcPr>
            <w:tcW w:w="1060" w:type="dxa"/>
            <w:tcBorders>
              <w:top w:val="nil"/>
              <w:left w:val="nil"/>
              <w:bottom w:val="nil"/>
              <w:right w:val="nil"/>
            </w:tcBorders>
            <w:tcMar>
              <w:top w:w="60" w:type="dxa"/>
              <w:left w:w="80" w:type="dxa"/>
              <w:bottom w:w="60" w:type="dxa"/>
              <w:right w:w="80" w:type="dxa"/>
            </w:tcMar>
            <w:vAlign w:val="center"/>
          </w:tcPr>
          <w:p w14:paraId="2536B7E8" w14:textId="77777777" w:rsidR="007A2869" w:rsidRDefault="00000000">
            <w:pPr>
              <w:jc w:val="right"/>
            </w:pPr>
            <w:r>
              <w:rPr>
                <w:sz w:val="20"/>
                <w:szCs w:val="20"/>
              </w:rPr>
              <w:t>-69.9</w:t>
            </w:r>
          </w:p>
        </w:tc>
      </w:tr>
      <w:tr w:rsidR="007A2869" w14:paraId="2536B7F0"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2536B7EA" w14:textId="77777777" w:rsidR="007A2869" w:rsidRDefault="00000000">
            <w:r>
              <w:rPr>
                <w:sz w:val="20"/>
                <w:szCs w:val="20"/>
              </w:rPr>
              <w:t>EuroStoxx 50</w:t>
            </w:r>
          </w:p>
        </w:tc>
        <w:tc>
          <w:tcPr>
            <w:tcW w:w="1000" w:type="dxa"/>
            <w:tcBorders>
              <w:top w:val="nil"/>
              <w:left w:val="nil"/>
              <w:bottom w:val="nil"/>
              <w:right w:val="nil"/>
            </w:tcBorders>
            <w:tcMar>
              <w:top w:w="60" w:type="dxa"/>
              <w:left w:w="80" w:type="dxa"/>
              <w:bottom w:w="60" w:type="dxa"/>
              <w:right w:w="80" w:type="dxa"/>
            </w:tcMar>
            <w:vAlign w:val="center"/>
          </w:tcPr>
          <w:p w14:paraId="2536B7EB" w14:textId="77777777" w:rsidR="007A2869" w:rsidRDefault="00000000">
            <w:pPr>
              <w:jc w:val="right"/>
            </w:pPr>
            <w:r>
              <w:rPr>
                <w:sz w:val="20"/>
                <w:szCs w:val="20"/>
              </w:rPr>
              <w:t>2.94</w:t>
            </w:r>
          </w:p>
        </w:tc>
        <w:tc>
          <w:tcPr>
            <w:tcW w:w="900" w:type="dxa"/>
            <w:tcBorders>
              <w:top w:val="nil"/>
              <w:left w:val="nil"/>
              <w:bottom w:val="nil"/>
              <w:right w:val="nil"/>
            </w:tcBorders>
            <w:tcMar>
              <w:top w:w="60" w:type="dxa"/>
              <w:left w:w="80" w:type="dxa"/>
              <w:bottom w:w="60" w:type="dxa"/>
              <w:right w:w="80" w:type="dxa"/>
            </w:tcMar>
            <w:vAlign w:val="center"/>
          </w:tcPr>
          <w:p w14:paraId="2536B7EC" w14:textId="77777777" w:rsidR="007A2869" w:rsidRDefault="00000000">
            <w:pPr>
              <w:jc w:val="right"/>
            </w:pPr>
            <w:r>
              <w:rPr>
                <w:sz w:val="20"/>
                <w:szCs w:val="20"/>
              </w:rPr>
              <w:t>21.08</w:t>
            </w:r>
          </w:p>
        </w:tc>
        <w:tc>
          <w:tcPr>
            <w:tcW w:w="900" w:type="dxa"/>
            <w:tcBorders>
              <w:top w:val="nil"/>
              <w:left w:val="nil"/>
              <w:bottom w:val="nil"/>
              <w:right w:val="nil"/>
            </w:tcBorders>
            <w:tcMar>
              <w:top w:w="60" w:type="dxa"/>
              <w:left w:w="80" w:type="dxa"/>
              <w:bottom w:w="60" w:type="dxa"/>
              <w:right w:w="80" w:type="dxa"/>
            </w:tcMar>
            <w:vAlign w:val="center"/>
          </w:tcPr>
          <w:p w14:paraId="2536B7ED" w14:textId="77777777" w:rsidR="007A2869" w:rsidRDefault="00000000">
            <w:pPr>
              <w:jc w:val="right"/>
            </w:pPr>
            <w:r>
              <w:rPr>
                <w:sz w:val="20"/>
                <w:szCs w:val="20"/>
              </w:rPr>
              <w:t>-0.68</w:t>
            </w:r>
          </w:p>
        </w:tc>
        <w:tc>
          <w:tcPr>
            <w:tcW w:w="900" w:type="dxa"/>
            <w:tcBorders>
              <w:top w:val="nil"/>
              <w:left w:val="nil"/>
              <w:bottom w:val="nil"/>
              <w:right w:val="nil"/>
            </w:tcBorders>
            <w:tcMar>
              <w:top w:w="60" w:type="dxa"/>
              <w:left w:w="80" w:type="dxa"/>
              <w:bottom w:w="60" w:type="dxa"/>
              <w:right w:w="80" w:type="dxa"/>
            </w:tcMar>
            <w:vAlign w:val="center"/>
          </w:tcPr>
          <w:p w14:paraId="2536B7EE" w14:textId="77777777" w:rsidR="007A2869" w:rsidRDefault="00000000">
            <w:pPr>
              <w:jc w:val="right"/>
            </w:pPr>
            <w:r>
              <w:rPr>
                <w:sz w:val="20"/>
                <w:szCs w:val="20"/>
              </w:rPr>
              <w:t>8.56</w:t>
            </w:r>
          </w:p>
        </w:tc>
        <w:tc>
          <w:tcPr>
            <w:tcW w:w="1060" w:type="dxa"/>
            <w:tcBorders>
              <w:top w:val="nil"/>
              <w:left w:val="nil"/>
              <w:bottom w:val="nil"/>
              <w:right w:val="nil"/>
            </w:tcBorders>
            <w:tcMar>
              <w:top w:w="60" w:type="dxa"/>
              <w:left w:w="80" w:type="dxa"/>
              <w:bottom w:w="60" w:type="dxa"/>
              <w:right w:w="80" w:type="dxa"/>
            </w:tcMar>
            <w:vAlign w:val="center"/>
          </w:tcPr>
          <w:p w14:paraId="2536B7EF" w14:textId="77777777" w:rsidR="007A2869" w:rsidRDefault="00000000">
            <w:pPr>
              <w:jc w:val="right"/>
            </w:pPr>
            <w:r>
              <w:rPr>
                <w:sz w:val="20"/>
                <w:szCs w:val="20"/>
              </w:rPr>
              <w:t>-66.7</w:t>
            </w:r>
          </w:p>
        </w:tc>
      </w:tr>
      <w:tr w:rsidR="007A2869" w14:paraId="2536B7F7"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2536B7F1" w14:textId="77777777" w:rsidR="007A2869" w:rsidRDefault="00000000">
            <w:r>
              <w:rPr>
                <w:sz w:val="20"/>
                <w:szCs w:val="20"/>
              </w:rPr>
              <w:t>FTSE MIB</w:t>
            </w:r>
          </w:p>
        </w:tc>
        <w:tc>
          <w:tcPr>
            <w:tcW w:w="1000" w:type="dxa"/>
            <w:tcBorders>
              <w:top w:val="nil"/>
              <w:left w:val="nil"/>
              <w:bottom w:val="nil"/>
              <w:right w:val="nil"/>
            </w:tcBorders>
            <w:tcMar>
              <w:top w:w="60" w:type="dxa"/>
              <w:left w:w="80" w:type="dxa"/>
              <w:bottom w:w="60" w:type="dxa"/>
              <w:right w:w="80" w:type="dxa"/>
            </w:tcMar>
            <w:vAlign w:val="center"/>
          </w:tcPr>
          <w:p w14:paraId="2536B7F2" w14:textId="77777777" w:rsidR="007A2869" w:rsidRDefault="00000000">
            <w:pPr>
              <w:jc w:val="right"/>
            </w:pPr>
            <w:r>
              <w:rPr>
                <w:sz w:val="20"/>
                <w:szCs w:val="20"/>
              </w:rPr>
              <w:t>2.98</w:t>
            </w:r>
          </w:p>
        </w:tc>
        <w:tc>
          <w:tcPr>
            <w:tcW w:w="900" w:type="dxa"/>
            <w:tcBorders>
              <w:top w:val="nil"/>
              <w:left w:val="nil"/>
              <w:bottom w:val="nil"/>
              <w:right w:val="nil"/>
            </w:tcBorders>
            <w:tcMar>
              <w:top w:w="60" w:type="dxa"/>
              <w:left w:w="80" w:type="dxa"/>
              <w:bottom w:w="60" w:type="dxa"/>
              <w:right w:w="80" w:type="dxa"/>
            </w:tcMar>
            <w:vAlign w:val="center"/>
          </w:tcPr>
          <w:p w14:paraId="2536B7F3" w14:textId="77777777" w:rsidR="007A2869" w:rsidRDefault="00000000">
            <w:pPr>
              <w:jc w:val="right"/>
            </w:pPr>
            <w:r>
              <w:rPr>
                <w:sz w:val="20"/>
                <w:szCs w:val="20"/>
              </w:rPr>
              <w:t>22.62</w:t>
            </w:r>
          </w:p>
        </w:tc>
        <w:tc>
          <w:tcPr>
            <w:tcW w:w="900" w:type="dxa"/>
            <w:tcBorders>
              <w:top w:val="nil"/>
              <w:left w:val="nil"/>
              <w:bottom w:val="nil"/>
              <w:right w:val="nil"/>
            </w:tcBorders>
            <w:tcMar>
              <w:top w:w="60" w:type="dxa"/>
              <w:left w:w="80" w:type="dxa"/>
              <w:bottom w:w="60" w:type="dxa"/>
              <w:right w:w="80" w:type="dxa"/>
            </w:tcMar>
            <w:vAlign w:val="center"/>
          </w:tcPr>
          <w:p w14:paraId="2536B7F4" w14:textId="77777777" w:rsidR="007A2869" w:rsidRDefault="00000000">
            <w:pPr>
              <w:jc w:val="right"/>
            </w:pPr>
            <w:r>
              <w:rPr>
                <w:sz w:val="20"/>
                <w:szCs w:val="20"/>
              </w:rPr>
              <w:t>-0.80</w:t>
            </w:r>
          </w:p>
        </w:tc>
        <w:tc>
          <w:tcPr>
            <w:tcW w:w="900" w:type="dxa"/>
            <w:tcBorders>
              <w:top w:val="nil"/>
              <w:left w:val="nil"/>
              <w:bottom w:val="nil"/>
              <w:right w:val="nil"/>
            </w:tcBorders>
            <w:tcMar>
              <w:top w:w="60" w:type="dxa"/>
              <w:left w:w="80" w:type="dxa"/>
              <w:bottom w:w="60" w:type="dxa"/>
              <w:right w:w="80" w:type="dxa"/>
            </w:tcMar>
            <w:vAlign w:val="center"/>
          </w:tcPr>
          <w:p w14:paraId="2536B7F5" w14:textId="77777777" w:rsidR="007A2869" w:rsidRDefault="00000000">
            <w:pPr>
              <w:jc w:val="right"/>
            </w:pPr>
            <w:r>
              <w:rPr>
                <w:sz w:val="20"/>
                <w:szCs w:val="20"/>
              </w:rPr>
              <w:t>9.80</w:t>
            </w:r>
          </w:p>
        </w:tc>
        <w:tc>
          <w:tcPr>
            <w:tcW w:w="1060" w:type="dxa"/>
            <w:tcBorders>
              <w:top w:val="nil"/>
              <w:left w:val="nil"/>
              <w:bottom w:val="nil"/>
              <w:right w:val="nil"/>
            </w:tcBorders>
            <w:tcMar>
              <w:top w:w="60" w:type="dxa"/>
              <w:left w:w="80" w:type="dxa"/>
              <w:bottom w:w="60" w:type="dxa"/>
              <w:right w:w="80" w:type="dxa"/>
            </w:tcMar>
            <w:vAlign w:val="center"/>
          </w:tcPr>
          <w:p w14:paraId="2536B7F6" w14:textId="77777777" w:rsidR="007A2869" w:rsidRDefault="00000000">
            <w:pPr>
              <w:jc w:val="right"/>
            </w:pPr>
            <w:r>
              <w:rPr>
                <w:sz w:val="20"/>
                <w:szCs w:val="20"/>
              </w:rPr>
              <w:t>-74.2</w:t>
            </w:r>
          </w:p>
        </w:tc>
      </w:tr>
      <w:tr w:rsidR="007A2869" w14:paraId="2536B7FE"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2536B7F8" w14:textId="77777777" w:rsidR="007A2869" w:rsidRDefault="00000000">
            <w:r>
              <w:rPr>
                <w:sz w:val="20"/>
                <w:szCs w:val="20"/>
              </w:rPr>
              <w:t>IBEX 35</w:t>
            </w:r>
          </w:p>
        </w:tc>
        <w:tc>
          <w:tcPr>
            <w:tcW w:w="1000" w:type="dxa"/>
            <w:tcBorders>
              <w:top w:val="nil"/>
              <w:left w:val="nil"/>
              <w:bottom w:val="nil"/>
              <w:right w:val="nil"/>
            </w:tcBorders>
            <w:tcMar>
              <w:top w:w="60" w:type="dxa"/>
              <w:left w:w="80" w:type="dxa"/>
              <w:bottom w:w="60" w:type="dxa"/>
              <w:right w:w="80" w:type="dxa"/>
            </w:tcMar>
            <w:vAlign w:val="center"/>
          </w:tcPr>
          <w:p w14:paraId="2536B7F9" w14:textId="77777777" w:rsidR="007A2869" w:rsidRDefault="00000000">
            <w:pPr>
              <w:jc w:val="right"/>
            </w:pPr>
            <w:r>
              <w:rPr>
                <w:sz w:val="20"/>
                <w:szCs w:val="20"/>
              </w:rPr>
              <w:t>4.00</w:t>
            </w:r>
          </w:p>
        </w:tc>
        <w:tc>
          <w:tcPr>
            <w:tcW w:w="900" w:type="dxa"/>
            <w:tcBorders>
              <w:top w:val="nil"/>
              <w:left w:val="nil"/>
              <w:bottom w:val="nil"/>
              <w:right w:val="nil"/>
            </w:tcBorders>
            <w:tcMar>
              <w:top w:w="60" w:type="dxa"/>
              <w:left w:w="80" w:type="dxa"/>
              <w:bottom w:w="60" w:type="dxa"/>
              <w:right w:w="80" w:type="dxa"/>
            </w:tcMar>
            <w:vAlign w:val="center"/>
          </w:tcPr>
          <w:p w14:paraId="2536B7FA" w14:textId="77777777" w:rsidR="007A2869" w:rsidRDefault="00000000">
            <w:pPr>
              <w:jc w:val="right"/>
            </w:pPr>
            <w:r>
              <w:rPr>
                <w:sz w:val="20"/>
                <w:szCs w:val="20"/>
              </w:rPr>
              <w:t>21.63</w:t>
            </w:r>
          </w:p>
        </w:tc>
        <w:tc>
          <w:tcPr>
            <w:tcW w:w="900" w:type="dxa"/>
            <w:tcBorders>
              <w:top w:val="nil"/>
              <w:left w:val="nil"/>
              <w:bottom w:val="nil"/>
              <w:right w:val="nil"/>
            </w:tcBorders>
            <w:tcMar>
              <w:top w:w="60" w:type="dxa"/>
              <w:left w:w="80" w:type="dxa"/>
              <w:bottom w:w="60" w:type="dxa"/>
              <w:right w:w="80" w:type="dxa"/>
            </w:tcMar>
            <w:vAlign w:val="center"/>
          </w:tcPr>
          <w:p w14:paraId="2536B7FB" w14:textId="77777777" w:rsidR="007A2869" w:rsidRDefault="00000000">
            <w:pPr>
              <w:jc w:val="right"/>
            </w:pPr>
            <w:r>
              <w:rPr>
                <w:sz w:val="20"/>
                <w:szCs w:val="20"/>
              </w:rPr>
              <w:t>-0.61</w:t>
            </w:r>
          </w:p>
        </w:tc>
        <w:tc>
          <w:tcPr>
            <w:tcW w:w="900" w:type="dxa"/>
            <w:tcBorders>
              <w:top w:val="nil"/>
              <w:left w:val="nil"/>
              <w:bottom w:val="nil"/>
              <w:right w:val="nil"/>
            </w:tcBorders>
            <w:tcMar>
              <w:top w:w="60" w:type="dxa"/>
              <w:left w:w="80" w:type="dxa"/>
              <w:bottom w:w="60" w:type="dxa"/>
              <w:right w:w="80" w:type="dxa"/>
            </w:tcMar>
            <w:vAlign w:val="center"/>
          </w:tcPr>
          <w:p w14:paraId="2536B7FC" w14:textId="77777777" w:rsidR="007A2869" w:rsidRDefault="00000000">
            <w:pPr>
              <w:jc w:val="right"/>
            </w:pPr>
            <w:r>
              <w:rPr>
                <w:sz w:val="20"/>
                <w:szCs w:val="20"/>
              </w:rPr>
              <w:t>7.84</w:t>
            </w:r>
          </w:p>
        </w:tc>
        <w:tc>
          <w:tcPr>
            <w:tcW w:w="1060" w:type="dxa"/>
            <w:tcBorders>
              <w:top w:val="nil"/>
              <w:left w:val="nil"/>
              <w:bottom w:val="nil"/>
              <w:right w:val="nil"/>
            </w:tcBorders>
            <w:tcMar>
              <w:top w:w="60" w:type="dxa"/>
              <w:left w:w="80" w:type="dxa"/>
              <w:bottom w:w="60" w:type="dxa"/>
              <w:right w:w="80" w:type="dxa"/>
            </w:tcMar>
            <w:vAlign w:val="center"/>
          </w:tcPr>
          <w:p w14:paraId="2536B7FD" w14:textId="77777777" w:rsidR="007A2869" w:rsidRDefault="00000000">
            <w:pPr>
              <w:jc w:val="right"/>
            </w:pPr>
            <w:r>
              <w:rPr>
                <w:sz w:val="20"/>
                <w:szCs w:val="20"/>
              </w:rPr>
              <w:t>-61.7</w:t>
            </w:r>
          </w:p>
        </w:tc>
      </w:tr>
      <w:tr w:rsidR="007A2869" w14:paraId="2536B805"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2536B7FF" w14:textId="77777777" w:rsidR="007A2869" w:rsidRDefault="00000000">
            <w:r>
              <w:rPr>
                <w:sz w:val="20"/>
                <w:szCs w:val="20"/>
              </w:rPr>
              <w:t>STOXX Europe 600</w:t>
            </w:r>
          </w:p>
        </w:tc>
        <w:tc>
          <w:tcPr>
            <w:tcW w:w="1000" w:type="dxa"/>
            <w:tcBorders>
              <w:top w:val="nil"/>
              <w:left w:val="nil"/>
              <w:bottom w:val="nil"/>
              <w:right w:val="nil"/>
            </w:tcBorders>
            <w:tcMar>
              <w:top w:w="60" w:type="dxa"/>
              <w:left w:w="80" w:type="dxa"/>
              <w:bottom w:w="60" w:type="dxa"/>
              <w:right w:w="80" w:type="dxa"/>
            </w:tcMar>
            <w:vAlign w:val="center"/>
          </w:tcPr>
          <w:p w14:paraId="2536B800" w14:textId="77777777" w:rsidR="007A2869" w:rsidRDefault="00000000">
            <w:pPr>
              <w:jc w:val="right"/>
            </w:pPr>
            <w:r>
              <w:rPr>
                <w:sz w:val="20"/>
                <w:szCs w:val="20"/>
              </w:rPr>
              <w:t>3.48</w:t>
            </w:r>
          </w:p>
        </w:tc>
        <w:tc>
          <w:tcPr>
            <w:tcW w:w="900" w:type="dxa"/>
            <w:tcBorders>
              <w:top w:val="nil"/>
              <w:left w:val="nil"/>
              <w:bottom w:val="nil"/>
              <w:right w:val="nil"/>
            </w:tcBorders>
            <w:tcMar>
              <w:top w:w="60" w:type="dxa"/>
              <w:left w:w="80" w:type="dxa"/>
              <w:bottom w:w="60" w:type="dxa"/>
              <w:right w:w="80" w:type="dxa"/>
            </w:tcMar>
            <w:vAlign w:val="center"/>
          </w:tcPr>
          <w:p w14:paraId="2536B801" w14:textId="77777777" w:rsidR="007A2869" w:rsidRDefault="00000000">
            <w:pPr>
              <w:jc w:val="right"/>
            </w:pPr>
            <w:r>
              <w:rPr>
                <w:sz w:val="20"/>
                <w:szCs w:val="20"/>
              </w:rPr>
              <w:t>17.99</w:t>
            </w:r>
          </w:p>
        </w:tc>
        <w:tc>
          <w:tcPr>
            <w:tcW w:w="900" w:type="dxa"/>
            <w:tcBorders>
              <w:top w:val="nil"/>
              <w:left w:val="nil"/>
              <w:bottom w:val="nil"/>
              <w:right w:val="nil"/>
            </w:tcBorders>
            <w:tcMar>
              <w:top w:w="60" w:type="dxa"/>
              <w:left w:w="80" w:type="dxa"/>
              <w:bottom w:w="60" w:type="dxa"/>
              <w:right w:w="80" w:type="dxa"/>
            </w:tcMar>
            <w:vAlign w:val="center"/>
          </w:tcPr>
          <w:p w14:paraId="2536B802" w14:textId="77777777" w:rsidR="007A2869" w:rsidRDefault="00000000">
            <w:pPr>
              <w:jc w:val="right"/>
            </w:pPr>
            <w:r>
              <w:rPr>
                <w:sz w:val="20"/>
                <w:szCs w:val="20"/>
              </w:rPr>
              <w:t>-0.95</w:t>
            </w:r>
          </w:p>
        </w:tc>
        <w:tc>
          <w:tcPr>
            <w:tcW w:w="900" w:type="dxa"/>
            <w:tcBorders>
              <w:top w:val="nil"/>
              <w:left w:val="nil"/>
              <w:bottom w:val="nil"/>
              <w:right w:val="nil"/>
            </w:tcBorders>
            <w:tcMar>
              <w:top w:w="60" w:type="dxa"/>
              <w:left w:w="80" w:type="dxa"/>
              <w:bottom w:w="60" w:type="dxa"/>
              <w:right w:w="80" w:type="dxa"/>
            </w:tcMar>
            <w:vAlign w:val="center"/>
          </w:tcPr>
          <w:p w14:paraId="2536B803" w14:textId="77777777" w:rsidR="007A2869" w:rsidRDefault="00000000">
            <w:pPr>
              <w:jc w:val="right"/>
            </w:pPr>
            <w:r>
              <w:rPr>
                <w:sz w:val="20"/>
                <w:szCs w:val="20"/>
              </w:rPr>
              <w:t>11.49</w:t>
            </w:r>
          </w:p>
        </w:tc>
        <w:tc>
          <w:tcPr>
            <w:tcW w:w="1060" w:type="dxa"/>
            <w:tcBorders>
              <w:top w:val="nil"/>
              <w:left w:val="nil"/>
              <w:bottom w:val="nil"/>
              <w:right w:val="nil"/>
            </w:tcBorders>
            <w:tcMar>
              <w:top w:w="60" w:type="dxa"/>
              <w:left w:w="80" w:type="dxa"/>
              <w:bottom w:w="60" w:type="dxa"/>
              <w:right w:w="80" w:type="dxa"/>
            </w:tcMar>
            <w:vAlign w:val="center"/>
          </w:tcPr>
          <w:p w14:paraId="2536B804" w14:textId="77777777" w:rsidR="007A2869" w:rsidRDefault="00000000">
            <w:pPr>
              <w:jc w:val="right"/>
            </w:pPr>
            <w:r>
              <w:rPr>
                <w:sz w:val="20"/>
                <w:szCs w:val="20"/>
              </w:rPr>
              <w:t>-60.4</w:t>
            </w:r>
          </w:p>
        </w:tc>
      </w:tr>
      <w:tr w:rsidR="007A2869" w14:paraId="2536B80C" w14:textId="77777777">
        <w:tblPrEx>
          <w:tblCellMar>
            <w:top w:w="0" w:type="dxa"/>
            <w:bottom w:w="0" w:type="dxa"/>
          </w:tblCellMar>
        </w:tblPrEx>
        <w:tc>
          <w:tcPr>
            <w:tcW w:w="26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06" w14:textId="77777777" w:rsidR="007A2869" w:rsidRDefault="00000000">
            <w:r>
              <w:rPr>
                <w:sz w:val="20"/>
                <w:szCs w:val="20"/>
              </w:rPr>
              <w:t>FTSE EPRA/NAREIT EU</w:t>
            </w:r>
          </w:p>
        </w:tc>
        <w:tc>
          <w:tcPr>
            <w:tcW w:w="1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07" w14:textId="77777777" w:rsidR="007A2869" w:rsidRDefault="00000000">
            <w:pPr>
              <w:jc w:val="right"/>
            </w:pPr>
            <w:r>
              <w:rPr>
                <w:sz w:val="20"/>
                <w:szCs w:val="20"/>
              </w:rPr>
              <w:t>3.64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08" w14:textId="77777777" w:rsidR="007A2869" w:rsidRDefault="00000000">
            <w:pPr>
              <w:jc w:val="right"/>
            </w:pPr>
            <w:r>
              <w:rPr>
                <w:sz w:val="20"/>
                <w:szCs w:val="20"/>
              </w:rPr>
              <w:t>19.61</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09" w14:textId="77777777" w:rsidR="007A2869" w:rsidRDefault="00000000">
            <w:pPr>
              <w:jc w:val="right"/>
            </w:pPr>
            <w:r>
              <w:rPr>
                <w:sz w:val="20"/>
                <w:szCs w:val="20"/>
              </w:rPr>
              <w:t>-1.02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0A" w14:textId="77777777" w:rsidR="007A2869" w:rsidRDefault="00000000">
            <w:pPr>
              <w:jc w:val="right"/>
            </w:pPr>
            <w:r>
              <w:rPr>
                <w:sz w:val="20"/>
                <w:szCs w:val="20"/>
              </w:rPr>
              <w:t>10.00</w:t>
            </w:r>
          </w:p>
        </w:tc>
        <w:tc>
          <w:tcPr>
            <w:tcW w:w="10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0B" w14:textId="77777777" w:rsidR="007A2869" w:rsidRDefault="00000000">
            <w:pPr>
              <w:jc w:val="right"/>
            </w:pPr>
            <w:r>
              <w:rPr>
                <w:sz w:val="20"/>
                <w:szCs w:val="20"/>
              </w:rPr>
              <w:t>-76.9</w:t>
            </w:r>
          </w:p>
        </w:tc>
      </w:tr>
    </w:tbl>
    <w:p w14:paraId="2536B80D" w14:textId="77777777" w:rsidR="007A2869" w:rsidRDefault="007A2869">
      <w:pPr>
        <w:spacing w:line="480" w:lineRule="auto"/>
      </w:pPr>
    </w:p>
    <w:p w14:paraId="2536B80E" w14:textId="77777777" w:rsidR="007A2869" w:rsidRDefault="00000000">
      <w:pPr>
        <w:spacing w:line="480" w:lineRule="auto"/>
        <w:ind w:firstLine="720"/>
        <w:jc w:val="both"/>
      </w:pPr>
      <w:r>
        <w:t xml:space="preserve">Table F.2 reports pairwise return correlations for the same period. The six European equity indices are highly co-integrated, with pairwise correlations ranging from 0.82 (DAX-IBEX) to 0.98 (CAC-EuroStoxx 50). Gold has near-zero or slightly negative correlation with all equity indices (range: -0.02 to +0.08), explaining its persistent presence in CVaR-optimal portfolios as a tail-risk diversifier. Brent and Bloomberg Commodity are moderately correlated with equities </w:t>
      </w:r>
      <w:r>
        <w:lastRenderedPageBreak/>
        <w:t>(0.17 to 0.30), while FTSE EPRA/NAREIT (European listed real estate) exhibits equity-like correlations (0.60 to 0.71) with a moderate discount to equity indices, consistent with its hybrid equity/bond characteristics. These correlation patterns motivate the CVaR LP's allocation toward gold and commodities in the absence of sovereign bonds.</w:t>
      </w:r>
    </w:p>
    <w:p w14:paraId="2536B80F" w14:textId="77777777" w:rsidR="007A2869" w:rsidRDefault="007A2869">
      <w:pPr>
        <w:spacing w:line="480" w:lineRule="auto"/>
      </w:pPr>
    </w:p>
    <w:p w14:paraId="2536B810" w14:textId="77777777" w:rsidR="007A2869" w:rsidRDefault="00000000">
      <w:pPr>
        <w:keepNext/>
        <w:spacing w:before="480" w:line="300" w:lineRule="auto"/>
      </w:pPr>
      <w:r>
        <w:rPr>
          <w:b/>
          <w:bCs/>
          <w:sz w:val="22"/>
          <w:szCs w:val="22"/>
        </w:rPr>
        <w:t>TABLE F.2</w:t>
      </w:r>
    </w:p>
    <w:p w14:paraId="2536B811" w14:textId="77777777" w:rsidR="007A2869" w:rsidRDefault="00000000">
      <w:pPr>
        <w:keepNext/>
        <w:spacing w:after="60" w:line="300" w:lineRule="auto"/>
      </w:pPr>
      <w:r>
        <w:rPr>
          <w:sz w:val="22"/>
          <w:szCs w:val="22"/>
        </w:rPr>
        <w:t>Pairwise Return Correlations: Risky Assets, January 2000 to April 2026</w:t>
      </w:r>
    </w:p>
    <w:p w14:paraId="2536B812" w14:textId="77777777" w:rsidR="007A2869" w:rsidRDefault="00000000">
      <w:pPr>
        <w:keepNext/>
        <w:spacing w:before="60" w:after="120" w:line="276" w:lineRule="auto"/>
      </w:pPr>
      <w:r>
        <w:rPr>
          <w:sz w:val="18"/>
          <w:szCs w:val="18"/>
        </w:rPr>
        <w:t>Pearson correlations of weekly simple returns. BComm = Bloomberg Commodity; EuroSx = EuroStoxx 50; MIB = FTSE MIB; STOXX = STOXX Europe 600; EPRA = FTSE EPRA/NAREIT Europe. Correlations are unconditional full-sample estimates; regime-conditional correlations vary substantially.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830"/>
        <w:gridCol w:w="830"/>
        <w:gridCol w:w="830"/>
        <w:gridCol w:w="830"/>
        <w:gridCol w:w="830"/>
        <w:gridCol w:w="830"/>
        <w:gridCol w:w="830"/>
        <w:gridCol w:w="830"/>
        <w:gridCol w:w="830"/>
        <w:gridCol w:w="830"/>
      </w:tblGrid>
      <w:tr w:rsidR="007A2869" w14:paraId="2536B81E" w14:textId="77777777">
        <w:tblPrEx>
          <w:tblCellMar>
            <w:top w:w="0" w:type="dxa"/>
            <w:bottom w:w="0" w:type="dxa"/>
          </w:tblCellMar>
        </w:tblPrEx>
        <w:trPr>
          <w:tblHeader/>
        </w:trPr>
        <w:tc>
          <w:tcPr>
            <w:tcW w:w="10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3" w14:textId="77777777" w:rsidR="007A2869" w:rsidRDefault="007A2869">
            <w:pPr>
              <w:jc w:val="center"/>
            </w:pPr>
          </w:p>
        </w:tc>
        <w:tc>
          <w:tcPr>
            <w:tcW w:w="8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4" w14:textId="77777777" w:rsidR="007A2869" w:rsidRDefault="00000000">
            <w:pPr>
              <w:jc w:val="right"/>
            </w:pPr>
            <w:r>
              <w:rPr>
                <w:b/>
                <w:bCs/>
                <w:sz w:val="17"/>
                <w:szCs w:val="17"/>
              </w:rPr>
              <w:t>BComm</w:t>
            </w:r>
          </w:p>
        </w:tc>
        <w:tc>
          <w:tcPr>
            <w:tcW w:w="8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5" w14:textId="77777777" w:rsidR="007A2869" w:rsidRDefault="00000000">
            <w:pPr>
              <w:jc w:val="right"/>
            </w:pPr>
            <w:r>
              <w:rPr>
                <w:b/>
                <w:bCs/>
                <w:sz w:val="17"/>
                <w:szCs w:val="17"/>
              </w:rPr>
              <w:t>Brent</w:t>
            </w:r>
          </w:p>
        </w:tc>
        <w:tc>
          <w:tcPr>
            <w:tcW w:w="8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6" w14:textId="77777777" w:rsidR="007A2869" w:rsidRDefault="00000000">
            <w:pPr>
              <w:jc w:val="right"/>
            </w:pPr>
            <w:r>
              <w:rPr>
                <w:b/>
                <w:bCs/>
                <w:sz w:val="17"/>
                <w:szCs w:val="17"/>
              </w:rPr>
              <w:t>Gold</w:t>
            </w:r>
          </w:p>
        </w:tc>
        <w:tc>
          <w:tcPr>
            <w:tcW w:w="8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7" w14:textId="77777777" w:rsidR="007A2869" w:rsidRDefault="00000000">
            <w:pPr>
              <w:jc w:val="right"/>
            </w:pPr>
            <w:r>
              <w:rPr>
                <w:b/>
                <w:bCs/>
                <w:sz w:val="17"/>
                <w:szCs w:val="17"/>
              </w:rPr>
              <w:t>CAC</w:t>
            </w:r>
          </w:p>
        </w:tc>
        <w:tc>
          <w:tcPr>
            <w:tcW w:w="8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8" w14:textId="77777777" w:rsidR="007A2869" w:rsidRDefault="00000000">
            <w:pPr>
              <w:jc w:val="right"/>
            </w:pPr>
            <w:r>
              <w:rPr>
                <w:b/>
                <w:bCs/>
                <w:sz w:val="17"/>
                <w:szCs w:val="17"/>
              </w:rPr>
              <w:t>DAX</w:t>
            </w:r>
          </w:p>
        </w:tc>
        <w:tc>
          <w:tcPr>
            <w:tcW w:w="8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9" w14:textId="77777777" w:rsidR="007A2869" w:rsidRDefault="00000000">
            <w:pPr>
              <w:jc w:val="right"/>
            </w:pPr>
            <w:r>
              <w:rPr>
                <w:b/>
                <w:bCs/>
                <w:sz w:val="17"/>
                <w:szCs w:val="17"/>
              </w:rPr>
              <w:t>EuroSx</w:t>
            </w:r>
          </w:p>
        </w:tc>
        <w:tc>
          <w:tcPr>
            <w:tcW w:w="8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A" w14:textId="77777777" w:rsidR="007A2869" w:rsidRDefault="00000000">
            <w:pPr>
              <w:jc w:val="right"/>
            </w:pPr>
            <w:r>
              <w:rPr>
                <w:b/>
                <w:bCs/>
                <w:sz w:val="17"/>
                <w:szCs w:val="17"/>
              </w:rPr>
              <w:t>MIB</w:t>
            </w:r>
          </w:p>
        </w:tc>
        <w:tc>
          <w:tcPr>
            <w:tcW w:w="8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B" w14:textId="77777777" w:rsidR="007A2869" w:rsidRDefault="00000000">
            <w:pPr>
              <w:jc w:val="right"/>
            </w:pPr>
            <w:r>
              <w:rPr>
                <w:b/>
                <w:bCs/>
                <w:sz w:val="17"/>
                <w:szCs w:val="17"/>
              </w:rPr>
              <w:t>IBEX</w:t>
            </w:r>
          </w:p>
        </w:tc>
        <w:tc>
          <w:tcPr>
            <w:tcW w:w="8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C" w14:textId="77777777" w:rsidR="007A2869" w:rsidRDefault="00000000">
            <w:pPr>
              <w:jc w:val="right"/>
            </w:pPr>
            <w:r>
              <w:rPr>
                <w:b/>
                <w:bCs/>
                <w:sz w:val="17"/>
                <w:szCs w:val="17"/>
              </w:rPr>
              <w:t>STOXX</w:t>
            </w:r>
          </w:p>
        </w:tc>
        <w:tc>
          <w:tcPr>
            <w:tcW w:w="8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36B81D" w14:textId="77777777" w:rsidR="007A2869" w:rsidRDefault="00000000">
            <w:pPr>
              <w:jc w:val="right"/>
            </w:pPr>
            <w:r>
              <w:rPr>
                <w:b/>
                <w:bCs/>
                <w:sz w:val="17"/>
                <w:szCs w:val="17"/>
              </w:rPr>
              <w:t>EPRA</w:t>
            </w:r>
          </w:p>
        </w:tc>
      </w:tr>
      <w:tr w:rsidR="007A2869" w14:paraId="2536B82A" w14:textId="77777777">
        <w:tblPrEx>
          <w:tblCellMar>
            <w:top w:w="0" w:type="dxa"/>
            <w:bottom w:w="0" w:type="dxa"/>
          </w:tblCellMar>
        </w:tblPrEx>
        <w:tc>
          <w:tcPr>
            <w:tcW w:w="1060" w:type="dxa"/>
            <w:tcBorders>
              <w:top w:val="nil"/>
              <w:left w:val="nil"/>
              <w:bottom w:val="nil"/>
              <w:right w:val="nil"/>
            </w:tcBorders>
            <w:tcMar>
              <w:top w:w="60" w:type="dxa"/>
              <w:left w:w="80" w:type="dxa"/>
              <w:bottom w:w="60" w:type="dxa"/>
              <w:right w:w="80" w:type="dxa"/>
            </w:tcMar>
            <w:vAlign w:val="center"/>
          </w:tcPr>
          <w:p w14:paraId="2536B81F" w14:textId="77777777" w:rsidR="007A2869" w:rsidRDefault="00000000">
            <w:r>
              <w:rPr>
                <w:sz w:val="17"/>
                <w:szCs w:val="17"/>
              </w:rPr>
              <w:t>BComm</w:t>
            </w:r>
          </w:p>
        </w:tc>
        <w:tc>
          <w:tcPr>
            <w:tcW w:w="830" w:type="dxa"/>
            <w:tcBorders>
              <w:top w:val="nil"/>
              <w:left w:val="nil"/>
              <w:bottom w:val="nil"/>
              <w:right w:val="nil"/>
            </w:tcBorders>
            <w:tcMar>
              <w:top w:w="60" w:type="dxa"/>
              <w:left w:w="80" w:type="dxa"/>
              <w:bottom w:w="60" w:type="dxa"/>
              <w:right w:w="80" w:type="dxa"/>
            </w:tcMar>
            <w:vAlign w:val="center"/>
          </w:tcPr>
          <w:p w14:paraId="2536B820" w14:textId="77777777" w:rsidR="007A2869" w:rsidRDefault="00000000">
            <w:pPr>
              <w:jc w:val="right"/>
            </w:pPr>
            <w:r>
              <w:rPr>
                <w:sz w:val="17"/>
                <w:szCs w:val="17"/>
              </w:rPr>
              <w:t>1.00</w:t>
            </w:r>
          </w:p>
        </w:tc>
        <w:tc>
          <w:tcPr>
            <w:tcW w:w="830" w:type="dxa"/>
            <w:tcBorders>
              <w:top w:val="nil"/>
              <w:left w:val="nil"/>
              <w:bottom w:val="nil"/>
              <w:right w:val="nil"/>
            </w:tcBorders>
            <w:tcMar>
              <w:top w:w="60" w:type="dxa"/>
              <w:left w:w="80" w:type="dxa"/>
              <w:bottom w:w="60" w:type="dxa"/>
              <w:right w:w="80" w:type="dxa"/>
            </w:tcMar>
            <w:vAlign w:val="center"/>
          </w:tcPr>
          <w:p w14:paraId="2536B821" w14:textId="77777777" w:rsidR="007A2869" w:rsidRDefault="00000000">
            <w:pPr>
              <w:jc w:val="right"/>
            </w:pPr>
            <w:r>
              <w:rPr>
                <w:sz w:val="17"/>
                <w:szCs w:val="17"/>
              </w:rPr>
              <w:t>0.67</w:t>
            </w:r>
          </w:p>
        </w:tc>
        <w:tc>
          <w:tcPr>
            <w:tcW w:w="830" w:type="dxa"/>
            <w:tcBorders>
              <w:top w:val="nil"/>
              <w:left w:val="nil"/>
              <w:bottom w:val="nil"/>
              <w:right w:val="nil"/>
            </w:tcBorders>
            <w:tcMar>
              <w:top w:w="60" w:type="dxa"/>
              <w:left w:w="80" w:type="dxa"/>
              <w:bottom w:w="60" w:type="dxa"/>
              <w:right w:w="80" w:type="dxa"/>
            </w:tcMar>
            <w:vAlign w:val="center"/>
          </w:tcPr>
          <w:p w14:paraId="2536B822" w14:textId="77777777" w:rsidR="007A2869" w:rsidRDefault="00000000">
            <w:pPr>
              <w:jc w:val="right"/>
            </w:pPr>
            <w:r>
              <w:rPr>
                <w:sz w:val="17"/>
                <w:szCs w:val="17"/>
              </w:rPr>
              <w:t>0.17</w:t>
            </w:r>
          </w:p>
        </w:tc>
        <w:tc>
          <w:tcPr>
            <w:tcW w:w="830" w:type="dxa"/>
            <w:tcBorders>
              <w:top w:val="nil"/>
              <w:left w:val="nil"/>
              <w:bottom w:val="nil"/>
              <w:right w:val="nil"/>
            </w:tcBorders>
            <w:tcMar>
              <w:top w:w="60" w:type="dxa"/>
              <w:left w:w="80" w:type="dxa"/>
              <w:bottom w:w="60" w:type="dxa"/>
              <w:right w:w="80" w:type="dxa"/>
            </w:tcMar>
            <w:vAlign w:val="center"/>
          </w:tcPr>
          <w:p w14:paraId="2536B823" w14:textId="77777777" w:rsidR="007A2869" w:rsidRDefault="00000000">
            <w:pPr>
              <w:jc w:val="right"/>
            </w:pPr>
            <w:r>
              <w:rPr>
                <w:sz w:val="17"/>
                <w:szCs w:val="17"/>
              </w:rPr>
              <w:t>0.25</w:t>
            </w:r>
          </w:p>
        </w:tc>
        <w:tc>
          <w:tcPr>
            <w:tcW w:w="830" w:type="dxa"/>
            <w:tcBorders>
              <w:top w:val="nil"/>
              <w:left w:val="nil"/>
              <w:bottom w:val="nil"/>
              <w:right w:val="nil"/>
            </w:tcBorders>
            <w:tcMar>
              <w:top w:w="60" w:type="dxa"/>
              <w:left w:w="80" w:type="dxa"/>
              <w:bottom w:w="60" w:type="dxa"/>
              <w:right w:w="80" w:type="dxa"/>
            </w:tcMar>
            <w:vAlign w:val="center"/>
          </w:tcPr>
          <w:p w14:paraId="2536B824" w14:textId="77777777" w:rsidR="007A2869" w:rsidRDefault="00000000">
            <w:pPr>
              <w:jc w:val="right"/>
            </w:pPr>
            <w:r>
              <w:rPr>
                <w:sz w:val="17"/>
                <w:szCs w:val="17"/>
              </w:rPr>
              <w:t>0.23</w:t>
            </w:r>
          </w:p>
        </w:tc>
        <w:tc>
          <w:tcPr>
            <w:tcW w:w="830" w:type="dxa"/>
            <w:tcBorders>
              <w:top w:val="nil"/>
              <w:left w:val="nil"/>
              <w:bottom w:val="nil"/>
              <w:right w:val="nil"/>
            </w:tcBorders>
            <w:tcMar>
              <w:top w:w="60" w:type="dxa"/>
              <w:left w:w="80" w:type="dxa"/>
              <w:bottom w:w="60" w:type="dxa"/>
              <w:right w:w="80" w:type="dxa"/>
            </w:tcMar>
            <w:vAlign w:val="center"/>
          </w:tcPr>
          <w:p w14:paraId="2536B825" w14:textId="77777777" w:rsidR="007A2869" w:rsidRDefault="00000000">
            <w:pPr>
              <w:jc w:val="right"/>
            </w:pPr>
            <w:r>
              <w:rPr>
                <w:sz w:val="17"/>
                <w:szCs w:val="17"/>
              </w:rPr>
              <w:t>0.24</w:t>
            </w:r>
          </w:p>
        </w:tc>
        <w:tc>
          <w:tcPr>
            <w:tcW w:w="830" w:type="dxa"/>
            <w:tcBorders>
              <w:top w:val="nil"/>
              <w:left w:val="nil"/>
              <w:bottom w:val="nil"/>
              <w:right w:val="nil"/>
            </w:tcBorders>
            <w:tcMar>
              <w:top w:w="60" w:type="dxa"/>
              <w:left w:w="80" w:type="dxa"/>
              <w:bottom w:w="60" w:type="dxa"/>
              <w:right w:w="80" w:type="dxa"/>
            </w:tcMar>
            <w:vAlign w:val="center"/>
          </w:tcPr>
          <w:p w14:paraId="2536B826" w14:textId="77777777" w:rsidR="007A2869" w:rsidRDefault="00000000">
            <w:pPr>
              <w:jc w:val="right"/>
            </w:pPr>
            <w:r>
              <w:rPr>
                <w:sz w:val="17"/>
                <w:szCs w:val="17"/>
              </w:rPr>
              <w:t>0.22</w:t>
            </w:r>
          </w:p>
        </w:tc>
        <w:tc>
          <w:tcPr>
            <w:tcW w:w="830" w:type="dxa"/>
            <w:tcBorders>
              <w:top w:val="nil"/>
              <w:left w:val="nil"/>
              <w:bottom w:val="nil"/>
              <w:right w:val="nil"/>
            </w:tcBorders>
            <w:tcMar>
              <w:top w:w="60" w:type="dxa"/>
              <w:left w:w="80" w:type="dxa"/>
              <w:bottom w:w="60" w:type="dxa"/>
              <w:right w:w="80" w:type="dxa"/>
            </w:tcMar>
            <w:vAlign w:val="center"/>
          </w:tcPr>
          <w:p w14:paraId="2536B827" w14:textId="77777777" w:rsidR="007A2869" w:rsidRDefault="00000000">
            <w:pPr>
              <w:jc w:val="right"/>
            </w:pPr>
            <w:r>
              <w:rPr>
                <w:sz w:val="17"/>
                <w:szCs w:val="17"/>
              </w:rPr>
              <w:t>0.18</w:t>
            </w:r>
          </w:p>
        </w:tc>
        <w:tc>
          <w:tcPr>
            <w:tcW w:w="830" w:type="dxa"/>
            <w:tcBorders>
              <w:top w:val="nil"/>
              <w:left w:val="nil"/>
              <w:bottom w:val="nil"/>
              <w:right w:val="nil"/>
            </w:tcBorders>
            <w:tcMar>
              <w:top w:w="60" w:type="dxa"/>
              <w:left w:w="80" w:type="dxa"/>
              <w:bottom w:w="60" w:type="dxa"/>
              <w:right w:w="80" w:type="dxa"/>
            </w:tcMar>
            <w:vAlign w:val="center"/>
          </w:tcPr>
          <w:p w14:paraId="2536B828" w14:textId="77777777" w:rsidR="007A2869" w:rsidRDefault="00000000">
            <w:pPr>
              <w:jc w:val="right"/>
            </w:pPr>
            <w:r>
              <w:rPr>
                <w:sz w:val="17"/>
                <w:szCs w:val="17"/>
              </w:rPr>
              <w:t>0.30</w:t>
            </w:r>
          </w:p>
        </w:tc>
        <w:tc>
          <w:tcPr>
            <w:tcW w:w="830" w:type="dxa"/>
            <w:tcBorders>
              <w:top w:val="nil"/>
              <w:left w:val="nil"/>
              <w:bottom w:val="nil"/>
              <w:right w:val="nil"/>
            </w:tcBorders>
            <w:tcMar>
              <w:top w:w="60" w:type="dxa"/>
              <w:left w:w="80" w:type="dxa"/>
              <w:bottom w:w="60" w:type="dxa"/>
              <w:right w:w="80" w:type="dxa"/>
            </w:tcMar>
            <w:vAlign w:val="center"/>
          </w:tcPr>
          <w:p w14:paraId="2536B829" w14:textId="77777777" w:rsidR="007A2869" w:rsidRDefault="00000000">
            <w:pPr>
              <w:jc w:val="right"/>
            </w:pPr>
            <w:r>
              <w:rPr>
                <w:sz w:val="17"/>
                <w:szCs w:val="17"/>
              </w:rPr>
              <w:t>0.26</w:t>
            </w:r>
          </w:p>
        </w:tc>
      </w:tr>
      <w:tr w:rsidR="007A2869" w14:paraId="2536B836" w14:textId="77777777">
        <w:tblPrEx>
          <w:tblCellMar>
            <w:top w:w="0" w:type="dxa"/>
            <w:bottom w:w="0" w:type="dxa"/>
          </w:tblCellMar>
        </w:tblPrEx>
        <w:tc>
          <w:tcPr>
            <w:tcW w:w="1060" w:type="dxa"/>
            <w:tcBorders>
              <w:top w:val="nil"/>
              <w:left w:val="nil"/>
              <w:bottom w:val="nil"/>
              <w:right w:val="nil"/>
            </w:tcBorders>
            <w:tcMar>
              <w:top w:w="60" w:type="dxa"/>
              <w:left w:w="80" w:type="dxa"/>
              <w:bottom w:w="60" w:type="dxa"/>
              <w:right w:w="80" w:type="dxa"/>
            </w:tcMar>
            <w:vAlign w:val="center"/>
          </w:tcPr>
          <w:p w14:paraId="2536B82B" w14:textId="77777777" w:rsidR="007A2869" w:rsidRDefault="00000000">
            <w:r>
              <w:rPr>
                <w:sz w:val="17"/>
                <w:szCs w:val="17"/>
              </w:rPr>
              <w:t>Brent</w:t>
            </w:r>
          </w:p>
        </w:tc>
        <w:tc>
          <w:tcPr>
            <w:tcW w:w="830" w:type="dxa"/>
            <w:tcBorders>
              <w:top w:val="nil"/>
              <w:left w:val="nil"/>
              <w:bottom w:val="nil"/>
              <w:right w:val="nil"/>
            </w:tcBorders>
            <w:tcMar>
              <w:top w:w="60" w:type="dxa"/>
              <w:left w:w="80" w:type="dxa"/>
              <w:bottom w:w="60" w:type="dxa"/>
              <w:right w:w="80" w:type="dxa"/>
            </w:tcMar>
            <w:vAlign w:val="center"/>
          </w:tcPr>
          <w:p w14:paraId="2536B82C" w14:textId="77777777" w:rsidR="007A2869" w:rsidRDefault="00000000">
            <w:pPr>
              <w:jc w:val="right"/>
            </w:pPr>
            <w:r>
              <w:rPr>
                <w:sz w:val="17"/>
                <w:szCs w:val="17"/>
              </w:rPr>
              <w:t>0.67</w:t>
            </w:r>
          </w:p>
        </w:tc>
        <w:tc>
          <w:tcPr>
            <w:tcW w:w="830" w:type="dxa"/>
            <w:tcBorders>
              <w:top w:val="nil"/>
              <w:left w:val="nil"/>
              <w:bottom w:val="nil"/>
              <w:right w:val="nil"/>
            </w:tcBorders>
            <w:tcMar>
              <w:top w:w="60" w:type="dxa"/>
              <w:left w:w="80" w:type="dxa"/>
              <w:bottom w:w="60" w:type="dxa"/>
              <w:right w:w="80" w:type="dxa"/>
            </w:tcMar>
            <w:vAlign w:val="center"/>
          </w:tcPr>
          <w:p w14:paraId="2536B82D" w14:textId="77777777" w:rsidR="007A2869" w:rsidRDefault="00000000">
            <w:pPr>
              <w:jc w:val="right"/>
            </w:pPr>
            <w:r>
              <w:rPr>
                <w:sz w:val="17"/>
                <w:szCs w:val="17"/>
              </w:rPr>
              <w:t>1.00</w:t>
            </w:r>
          </w:p>
        </w:tc>
        <w:tc>
          <w:tcPr>
            <w:tcW w:w="830" w:type="dxa"/>
            <w:tcBorders>
              <w:top w:val="nil"/>
              <w:left w:val="nil"/>
              <w:bottom w:val="nil"/>
              <w:right w:val="nil"/>
            </w:tcBorders>
            <w:tcMar>
              <w:top w:w="60" w:type="dxa"/>
              <w:left w:w="80" w:type="dxa"/>
              <w:bottom w:w="60" w:type="dxa"/>
              <w:right w:w="80" w:type="dxa"/>
            </w:tcMar>
            <w:vAlign w:val="center"/>
          </w:tcPr>
          <w:p w14:paraId="2536B82E" w14:textId="77777777" w:rsidR="007A2869" w:rsidRDefault="00000000">
            <w:pPr>
              <w:jc w:val="right"/>
            </w:pPr>
            <w:r>
              <w:rPr>
                <w:sz w:val="17"/>
                <w:szCs w:val="17"/>
              </w:rPr>
              <w:t>0.06</w:t>
            </w:r>
          </w:p>
        </w:tc>
        <w:tc>
          <w:tcPr>
            <w:tcW w:w="830" w:type="dxa"/>
            <w:tcBorders>
              <w:top w:val="nil"/>
              <w:left w:val="nil"/>
              <w:bottom w:val="nil"/>
              <w:right w:val="nil"/>
            </w:tcBorders>
            <w:tcMar>
              <w:top w:w="60" w:type="dxa"/>
              <w:left w:w="80" w:type="dxa"/>
              <w:bottom w:w="60" w:type="dxa"/>
              <w:right w:w="80" w:type="dxa"/>
            </w:tcMar>
            <w:vAlign w:val="center"/>
          </w:tcPr>
          <w:p w14:paraId="2536B82F" w14:textId="77777777" w:rsidR="007A2869" w:rsidRDefault="00000000">
            <w:pPr>
              <w:jc w:val="right"/>
            </w:pPr>
            <w:r>
              <w:rPr>
                <w:sz w:val="17"/>
                <w:szCs w:val="17"/>
              </w:rPr>
              <w:t>0.21</w:t>
            </w:r>
          </w:p>
        </w:tc>
        <w:tc>
          <w:tcPr>
            <w:tcW w:w="830" w:type="dxa"/>
            <w:tcBorders>
              <w:top w:val="nil"/>
              <w:left w:val="nil"/>
              <w:bottom w:val="nil"/>
              <w:right w:val="nil"/>
            </w:tcBorders>
            <w:tcMar>
              <w:top w:w="60" w:type="dxa"/>
              <w:left w:w="80" w:type="dxa"/>
              <w:bottom w:w="60" w:type="dxa"/>
              <w:right w:w="80" w:type="dxa"/>
            </w:tcMar>
            <w:vAlign w:val="center"/>
          </w:tcPr>
          <w:p w14:paraId="2536B830" w14:textId="77777777" w:rsidR="007A2869" w:rsidRDefault="00000000">
            <w:pPr>
              <w:jc w:val="right"/>
            </w:pPr>
            <w:r>
              <w:rPr>
                <w:sz w:val="17"/>
                <w:szCs w:val="17"/>
              </w:rPr>
              <w:t>0.17</w:t>
            </w:r>
          </w:p>
        </w:tc>
        <w:tc>
          <w:tcPr>
            <w:tcW w:w="830" w:type="dxa"/>
            <w:tcBorders>
              <w:top w:val="nil"/>
              <w:left w:val="nil"/>
              <w:bottom w:val="nil"/>
              <w:right w:val="nil"/>
            </w:tcBorders>
            <w:tcMar>
              <w:top w:w="60" w:type="dxa"/>
              <w:left w:w="80" w:type="dxa"/>
              <w:bottom w:w="60" w:type="dxa"/>
              <w:right w:w="80" w:type="dxa"/>
            </w:tcMar>
            <w:vAlign w:val="center"/>
          </w:tcPr>
          <w:p w14:paraId="2536B831" w14:textId="77777777" w:rsidR="007A2869" w:rsidRDefault="00000000">
            <w:pPr>
              <w:jc w:val="right"/>
            </w:pPr>
            <w:r>
              <w:rPr>
                <w:sz w:val="17"/>
                <w:szCs w:val="17"/>
              </w:rPr>
              <w:t>0.20</w:t>
            </w:r>
          </w:p>
        </w:tc>
        <w:tc>
          <w:tcPr>
            <w:tcW w:w="830" w:type="dxa"/>
            <w:tcBorders>
              <w:top w:val="nil"/>
              <w:left w:val="nil"/>
              <w:bottom w:val="nil"/>
              <w:right w:val="nil"/>
            </w:tcBorders>
            <w:tcMar>
              <w:top w:w="60" w:type="dxa"/>
              <w:left w:w="80" w:type="dxa"/>
              <w:bottom w:w="60" w:type="dxa"/>
              <w:right w:w="80" w:type="dxa"/>
            </w:tcMar>
            <w:vAlign w:val="center"/>
          </w:tcPr>
          <w:p w14:paraId="2536B832" w14:textId="77777777" w:rsidR="007A2869" w:rsidRDefault="00000000">
            <w:pPr>
              <w:jc w:val="right"/>
            </w:pPr>
            <w:r>
              <w:rPr>
                <w:sz w:val="17"/>
                <w:szCs w:val="17"/>
              </w:rPr>
              <w:t>0.21</w:t>
            </w:r>
          </w:p>
        </w:tc>
        <w:tc>
          <w:tcPr>
            <w:tcW w:w="830" w:type="dxa"/>
            <w:tcBorders>
              <w:top w:val="nil"/>
              <w:left w:val="nil"/>
              <w:bottom w:val="nil"/>
              <w:right w:val="nil"/>
            </w:tcBorders>
            <w:tcMar>
              <w:top w:w="60" w:type="dxa"/>
              <w:left w:w="80" w:type="dxa"/>
              <w:bottom w:w="60" w:type="dxa"/>
              <w:right w:w="80" w:type="dxa"/>
            </w:tcMar>
            <w:vAlign w:val="center"/>
          </w:tcPr>
          <w:p w14:paraId="2536B833" w14:textId="77777777" w:rsidR="007A2869" w:rsidRDefault="00000000">
            <w:pPr>
              <w:jc w:val="right"/>
            </w:pPr>
            <w:r>
              <w:rPr>
                <w:sz w:val="17"/>
                <w:szCs w:val="17"/>
              </w:rPr>
              <w:t>0.18</w:t>
            </w:r>
          </w:p>
        </w:tc>
        <w:tc>
          <w:tcPr>
            <w:tcW w:w="830" w:type="dxa"/>
            <w:tcBorders>
              <w:top w:val="nil"/>
              <w:left w:val="nil"/>
              <w:bottom w:val="nil"/>
              <w:right w:val="nil"/>
            </w:tcBorders>
            <w:tcMar>
              <w:top w:w="60" w:type="dxa"/>
              <w:left w:w="80" w:type="dxa"/>
              <w:bottom w:w="60" w:type="dxa"/>
              <w:right w:w="80" w:type="dxa"/>
            </w:tcMar>
            <w:vAlign w:val="center"/>
          </w:tcPr>
          <w:p w14:paraId="2536B834" w14:textId="77777777" w:rsidR="007A2869" w:rsidRDefault="00000000">
            <w:pPr>
              <w:jc w:val="right"/>
            </w:pPr>
            <w:r>
              <w:rPr>
                <w:sz w:val="17"/>
                <w:szCs w:val="17"/>
              </w:rPr>
              <w:t>0.24</w:t>
            </w:r>
          </w:p>
        </w:tc>
        <w:tc>
          <w:tcPr>
            <w:tcW w:w="830" w:type="dxa"/>
            <w:tcBorders>
              <w:top w:val="nil"/>
              <w:left w:val="nil"/>
              <w:bottom w:val="nil"/>
              <w:right w:val="nil"/>
            </w:tcBorders>
            <w:tcMar>
              <w:top w:w="60" w:type="dxa"/>
              <w:left w:w="80" w:type="dxa"/>
              <w:bottom w:w="60" w:type="dxa"/>
              <w:right w:w="80" w:type="dxa"/>
            </w:tcMar>
            <w:vAlign w:val="center"/>
          </w:tcPr>
          <w:p w14:paraId="2536B835" w14:textId="77777777" w:rsidR="007A2869" w:rsidRDefault="00000000">
            <w:pPr>
              <w:jc w:val="right"/>
            </w:pPr>
            <w:r>
              <w:rPr>
                <w:sz w:val="17"/>
                <w:szCs w:val="17"/>
              </w:rPr>
              <w:t>0.17</w:t>
            </w:r>
          </w:p>
        </w:tc>
      </w:tr>
      <w:tr w:rsidR="007A2869" w14:paraId="2536B842" w14:textId="77777777">
        <w:tblPrEx>
          <w:tblCellMar>
            <w:top w:w="0" w:type="dxa"/>
            <w:bottom w:w="0" w:type="dxa"/>
          </w:tblCellMar>
        </w:tblPrEx>
        <w:tc>
          <w:tcPr>
            <w:tcW w:w="1060" w:type="dxa"/>
            <w:tcBorders>
              <w:top w:val="nil"/>
              <w:left w:val="nil"/>
              <w:bottom w:val="nil"/>
              <w:right w:val="nil"/>
            </w:tcBorders>
            <w:tcMar>
              <w:top w:w="60" w:type="dxa"/>
              <w:left w:w="80" w:type="dxa"/>
              <w:bottom w:w="60" w:type="dxa"/>
              <w:right w:w="80" w:type="dxa"/>
            </w:tcMar>
            <w:vAlign w:val="center"/>
          </w:tcPr>
          <w:p w14:paraId="2536B837" w14:textId="77777777" w:rsidR="007A2869" w:rsidRDefault="00000000">
            <w:r>
              <w:rPr>
                <w:sz w:val="17"/>
                <w:szCs w:val="17"/>
              </w:rPr>
              <w:t>Gold</w:t>
            </w:r>
          </w:p>
        </w:tc>
        <w:tc>
          <w:tcPr>
            <w:tcW w:w="830" w:type="dxa"/>
            <w:tcBorders>
              <w:top w:val="nil"/>
              <w:left w:val="nil"/>
              <w:bottom w:val="nil"/>
              <w:right w:val="nil"/>
            </w:tcBorders>
            <w:tcMar>
              <w:top w:w="60" w:type="dxa"/>
              <w:left w:w="80" w:type="dxa"/>
              <w:bottom w:w="60" w:type="dxa"/>
              <w:right w:w="80" w:type="dxa"/>
            </w:tcMar>
            <w:vAlign w:val="center"/>
          </w:tcPr>
          <w:p w14:paraId="2536B838" w14:textId="77777777" w:rsidR="007A2869" w:rsidRDefault="00000000">
            <w:pPr>
              <w:jc w:val="right"/>
            </w:pPr>
            <w:r>
              <w:rPr>
                <w:sz w:val="17"/>
                <w:szCs w:val="17"/>
              </w:rPr>
              <w:t>0.17</w:t>
            </w:r>
          </w:p>
        </w:tc>
        <w:tc>
          <w:tcPr>
            <w:tcW w:w="830" w:type="dxa"/>
            <w:tcBorders>
              <w:top w:val="nil"/>
              <w:left w:val="nil"/>
              <w:bottom w:val="nil"/>
              <w:right w:val="nil"/>
            </w:tcBorders>
            <w:tcMar>
              <w:top w:w="60" w:type="dxa"/>
              <w:left w:w="80" w:type="dxa"/>
              <w:bottom w:w="60" w:type="dxa"/>
              <w:right w:w="80" w:type="dxa"/>
            </w:tcMar>
            <w:vAlign w:val="center"/>
          </w:tcPr>
          <w:p w14:paraId="2536B839" w14:textId="77777777" w:rsidR="007A2869" w:rsidRDefault="00000000">
            <w:pPr>
              <w:jc w:val="right"/>
            </w:pPr>
            <w:r>
              <w:rPr>
                <w:sz w:val="17"/>
                <w:szCs w:val="17"/>
              </w:rPr>
              <w:t>0.06</w:t>
            </w:r>
          </w:p>
        </w:tc>
        <w:tc>
          <w:tcPr>
            <w:tcW w:w="830" w:type="dxa"/>
            <w:tcBorders>
              <w:top w:val="nil"/>
              <w:left w:val="nil"/>
              <w:bottom w:val="nil"/>
              <w:right w:val="nil"/>
            </w:tcBorders>
            <w:tcMar>
              <w:top w:w="60" w:type="dxa"/>
              <w:left w:w="80" w:type="dxa"/>
              <w:bottom w:w="60" w:type="dxa"/>
              <w:right w:w="80" w:type="dxa"/>
            </w:tcMar>
            <w:vAlign w:val="center"/>
          </w:tcPr>
          <w:p w14:paraId="2536B83A" w14:textId="77777777" w:rsidR="007A2869" w:rsidRDefault="00000000">
            <w:pPr>
              <w:jc w:val="right"/>
            </w:pPr>
            <w:r>
              <w:rPr>
                <w:sz w:val="17"/>
                <w:szCs w:val="17"/>
              </w:rPr>
              <w:t>1.00</w:t>
            </w:r>
          </w:p>
        </w:tc>
        <w:tc>
          <w:tcPr>
            <w:tcW w:w="830" w:type="dxa"/>
            <w:tcBorders>
              <w:top w:val="nil"/>
              <w:left w:val="nil"/>
              <w:bottom w:val="nil"/>
              <w:right w:val="nil"/>
            </w:tcBorders>
            <w:tcMar>
              <w:top w:w="60" w:type="dxa"/>
              <w:left w:w="80" w:type="dxa"/>
              <w:bottom w:w="60" w:type="dxa"/>
              <w:right w:w="80" w:type="dxa"/>
            </w:tcMar>
            <w:vAlign w:val="center"/>
          </w:tcPr>
          <w:p w14:paraId="2536B83B" w14:textId="77777777" w:rsidR="007A2869" w:rsidRDefault="00000000">
            <w:pPr>
              <w:jc w:val="right"/>
            </w:pPr>
            <w:r>
              <w:rPr>
                <w:sz w:val="17"/>
                <w:szCs w:val="17"/>
              </w:rPr>
              <w:t>0.00</w:t>
            </w:r>
          </w:p>
        </w:tc>
        <w:tc>
          <w:tcPr>
            <w:tcW w:w="830" w:type="dxa"/>
            <w:tcBorders>
              <w:top w:val="nil"/>
              <w:left w:val="nil"/>
              <w:bottom w:val="nil"/>
              <w:right w:val="nil"/>
            </w:tcBorders>
            <w:tcMar>
              <w:top w:w="60" w:type="dxa"/>
              <w:left w:w="80" w:type="dxa"/>
              <w:bottom w:w="60" w:type="dxa"/>
              <w:right w:w="80" w:type="dxa"/>
            </w:tcMar>
            <w:vAlign w:val="center"/>
          </w:tcPr>
          <w:p w14:paraId="2536B83C" w14:textId="77777777" w:rsidR="007A2869" w:rsidRDefault="00000000">
            <w:pPr>
              <w:jc w:val="right"/>
            </w:pPr>
            <w:r>
              <w:rPr>
                <w:sz w:val="17"/>
                <w:szCs w:val="17"/>
              </w:rPr>
              <w:t>0.00</w:t>
            </w:r>
          </w:p>
        </w:tc>
        <w:tc>
          <w:tcPr>
            <w:tcW w:w="830" w:type="dxa"/>
            <w:tcBorders>
              <w:top w:val="nil"/>
              <w:left w:val="nil"/>
              <w:bottom w:val="nil"/>
              <w:right w:val="nil"/>
            </w:tcBorders>
            <w:tcMar>
              <w:top w:w="60" w:type="dxa"/>
              <w:left w:w="80" w:type="dxa"/>
              <w:bottom w:w="60" w:type="dxa"/>
              <w:right w:w="80" w:type="dxa"/>
            </w:tcMar>
            <w:vAlign w:val="center"/>
          </w:tcPr>
          <w:p w14:paraId="2536B83D" w14:textId="77777777" w:rsidR="007A2869" w:rsidRDefault="00000000">
            <w:pPr>
              <w:jc w:val="right"/>
            </w:pPr>
            <w:r>
              <w:rPr>
                <w:sz w:val="17"/>
                <w:szCs w:val="17"/>
              </w:rPr>
              <w:t>-0.01</w:t>
            </w:r>
          </w:p>
        </w:tc>
        <w:tc>
          <w:tcPr>
            <w:tcW w:w="830" w:type="dxa"/>
            <w:tcBorders>
              <w:top w:val="nil"/>
              <w:left w:val="nil"/>
              <w:bottom w:val="nil"/>
              <w:right w:val="nil"/>
            </w:tcBorders>
            <w:tcMar>
              <w:top w:w="60" w:type="dxa"/>
              <w:left w:w="80" w:type="dxa"/>
              <w:bottom w:w="60" w:type="dxa"/>
              <w:right w:w="80" w:type="dxa"/>
            </w:tcMar>
            <w:vAlign w:val="center"/>
          </w:tcPr>
          <w:p w14:paraId="2536B83E" w14:textId="77777777" w:rsidR="007A2869" w:rsidRDefault="00000000">
            <w:pPr>
              <w:jc w:val="right"/>
            </w:pPr>
            <w:r>
              <w:rPr>
                <w:sz w:val="17"/>
                <w:szCs w:val="17"/>
              </w:rPr>
              <w:t>-0.02</w:t>
            </w:r>
          </w:p>
        </w:tc>
        <w:tc>
          <w:tcPr>
            <w:tcW w:w="830" w:type="dxa"/>
            <w:tcBorders>
              <w:top w:val="nil"/>
              <w:left w:val="nil"/>
              <w:bottom w:val="nil"/>
              <w:right w:val="nil"/>
            </w:tcBorders>
            <w:tcMar>
              <w:top w:w="60" w:type="dxa"/>
              <w:left w:w="80" w:type="dxa"/>
              <w:bottom w:w="60" w:type="dxa"/>
              <w:right w:w="80" w:type="dxa"/>
            </w:tcMar>
            <w:vAlign w:val="center"/>
          </w:tcPr>
          <w:p w14:paraId="2536B83F" w14:textId="77777777" w:rsidR="007A2869" w:rsidRDefault="00000000">
            <w:pPr>
              <w:jc w:val="right"/>
            </w:pPr>
            <w:r>
              <w:rPr>
                <w:sz w:val="17"/>
                <w:szCs w:val="17"/>
              </w:rPr>
              <w:t>-0.01</w:t>
            </w:r>
          </w:p>
        </w:tc>
        <w:tc>
          <w:tcPr>
            <w:tcW w:w="830" w:type="dxa"/>
            <w:tcBorders>
              <w:top w:val="nil"/>
              <w:left w:val="nil"/>
              <w:bottom w:val="nil"/>
              <w:right w:val="nil"/>
            </w:tcBorders>
            <w:tcMar>
              <w:top w:w="60" w:type="dxa"/>
              <w:left w:w="80" w:type="dxa"/>
              <w:bottom w:w="60" w:type="dxa"/>
              <w:right w:w="80" w:type="dxa"/>
            </w:tcMar>
            <w:vAlign w:val="center"/>
          </w:tcPr>
          <w:p w14:paraId="2536B840" w14:textId="77777777" w:rsidR="007A2869" w:rsidRDefault="00000000">
            <w:pPr>
              <w:jc w:val="right"/>
            </w:pPr>
            <w:r>
              <w:rPr>
                <w:sz w:val="17"/>
                <w:szCs w:val="17"/>
              </w:rPr>
              <w:t>0.00</w:t>
            </w:r>
          </w:p>
        </w:tc>
        <w:tc>
          <w:tcPr>
            <w:tcW w:w="830" w:type="dxa"/>
            <w:tcBorders>
              <w:top w:val="nil"/>
              <w:left w:val="nil"/>
              <w:bottom w:val="nil"/>
              <w:right w:val="nil"/>
            </w:tcBorders>
            <w:tcMar>
              <w:top w:w="60" w:type="dxa"/>
              <w:left w:w="80" w:type="dxa"/>
              <w:bottom w:w="60" w:type="dxa"/>
              <w:right w:w="80" w:type="dxa"/>
            </w:tcMar>
            <w:vAlign w:val="center"/>
          </w:tcPr>
          <w:p w14:paraId="2536B841" w14:textId="77777777" w:rsidR="007A2869" w:rsidRDefault="00000000">
            <w:pPr>
              <w:jc w:val="right"/>
            </w:pPr>
            <w:r>
              <w:rPr>
                <w:sz w:val="17"/>
                <w:szCs w:val="17"/>
              </w:rPr>
              <w:t>0.08</w:t>
            </w:r>
          </w:p>
        </w:tc>
      </w:tr>
      <w:tr w:rsidR="007A2869" w14:paraId="2536B84E" w14:textId="77777777">
        <w:tblPrEx>
          <w:tblCellMar>
            <w:top w:w="0" w:type="dxa"/>
            <w:bottom w:w="0" w:type="dxa"/>
          </w:tblCellMar>
        </w:tblPrEx>
        <w:tc>
          <w:tcPr>
            <w:tcW w:w="1060" w:type="dxa"/>
            <w:tcBorders>
              <w:top w:val="nil"/>
              <w:left w:val="nil"/>
              <w:bottom w:val="nil"/>
              <w:right w:val="nil"/>
            </w:tcBorders>
            <w:tcMar>
              <w:top w:w="60" w:type="dxa"/>
              <w:left w:w="80" w:type="dxa"/>
              <w:bottom w:w="60" w:type="dxa"/>
              <w:right w:w="80" w:type="dxa"/>
            </w:tcMar>
            <w:vAlign w:val="center"/>
          </w:tcPr>
          <w:p w14:paraId="2536B843" w14:textId="77777777" w:rsidR="007A2869" w:rsidRDefault="00000000">
            <w:r>
              <w:rPr>
                <w:sz w:val="17"/>
                <w:szCs w:val="17"/>
              </w:rPr>
              <w:t>CAC</w:t>
            </w:r>
          </w:p>
        </w:tc>
        <w:tc>
          <w:tcPr>
            <w:tcW w:w="830" w:type="dxa"/>
            <w:tcBorders>
              <w:top w:val="nil"/>
              <w:left w:val="nil"/>
              <w:bottom w:val="nil"/>
              <w:right w:val="nil"/>
            </w:tcBorders>
            <w:tcMar>
              <w:top w:w="60" w:type="dxa"/>
              <w:left w:w="80" w:type="dxa"/>
              <w:bottom w:w="60" w:type="dxa"/>
              <w:right w:w="80" w:type="dxa"/>
            </w:tcMar>
            <w:vAlign w:val="center"/>
          </w:tcPr>
          <w:p w14:paraId="2536B844" w14:textId="77777777" w:rsidR="007A2869" w:rsidRDefault="00000000">
            <w:pPr>
              <w:jc w:val="right"/>
            </w:pPr>
            <w:r>
              <w:rPr>
                <w:sz w:val="17"/>
                <w:szCs w:val="17"/>
              </w:rPr>
              <w:t>0.25</w:t>
            </w:r>
          </w:p>
        </w:tc>
        <w:tc>
          <w:tcPr>
            <w:tcW w:w="830" w:type="dxa"/>
            <w:tcBorders>
              <w:top w:val="nil"/>
              <w:left w:val="nil"/>
              <w:bottom w:val="nil"/>
              <w:right w:val="nil"/>
            </w:tcBorders>
            <w:tcMar>
              <w:top w:w="60" w:type="dxa"/>
              <w:left w:w="80" w:type="dxa"/>
              <w:bottom w:w="60" w:type="dxa"/>
              <w:right w:w="80" w:type="dxa"/>
            </w:tcMar>
            <w:vAlign w:val="center"/>
          </w:tcPr>
          <w:p w14:paraId="2536B845" w14:textId="77777777" w:rsidR="007A2869" w:rsidRDefault="00000000">
            <w:pPr>
              <w:jc w:val="right"/>
            </w:pPr>
            <w:r>
              <w:rPr>
                <w:sz w:val="17"/>
                <w:szCs w:val="17"/>
              </w:rPr>
              <w:t>0.21</w:t>
            </w:r>
          </w:p>
        </w:tc>
        <w:tc>
          <w:tcPr>
            <w:tcW w:w="830" w:type="dxa"/>
            <w:tcBorders>
              <w:top w:val="nil"/>
              <w:left w:val="nil"/>
              <w:bottom w:val="nil"/>
              <w:right w:val="nil"/>
            </w:tcBorders>
            <w:tcMar>
              <w:top w:w="60" w:type="dxa"/>
              <w:left w:w="80" w:type="dxa"/>
              <w:bottom w:w="60" w:type="dxa"/>
              <w:right w:w="80" w:type="dxa"/>
            </w:tcMar>
            <w:vAlign w:val="center"/>
          </w:tcPr>
          <w:p w14:paraId="2536B846" w14:textId="77777777" w:rsidR="007A2869" w:rsidRDefault="00000000">
            <w:pPr>
              <w:jc w:val="right"/>
            </w:pPr>
            <w:r>
              <w:rPr>
                <w:sz w:val="17"/>
                <w:szCs w:val="17"/>
              </w:rPr>
              <w:t>0.00</w:t>
            </w:r>
          </w:p>
        </w:tc>
        <w:tc>
          <w:tcPr>
            <w:tcW w:w="830" w:type="dxa"/>
            <w:tcBorders>
              <w:top w:val="nil"/>
              <w:left w:val="nil"/>
              <w:bottom w:val="nil"/>
              <w:right w:val="nil"/>
            </w:tcBorders>
            <w:tcMar>
              <w:top w:w="60" w:type="dxa"/>
              <w:left w:w="80" w:type="dxa"/>
              <w:bottom w:w="60" w:type="dxa"/>
              <w:right w:w="80" w:type="dxa"/>
            </w:tcMar>
            <w:vAlign w:val="center"/>
          </w:tcPr>
          <w:p w14:paraId="2536B847" w14:textId="77777777" w:rsidR="007A2869" w:rsidRDefault="00000000">
            <w:pPr>
              <w:jc w:val="right"/>
            </w:pPr>
            <w:r>
              <w:rPr>
                <w:sz w:val="17"/>
                <w:szCs w:val="17"/>
              </w:rPr>
              <w:t>1.00</w:t>
            </w:r>
          </w:p>
        </w:tc>
        <w:tc>
          <w:tcPr>
            <w:tcW w:w="830" w:type="dxa"/>
            <w:tcBorders>
              <w:top w:val="nil"/>
              <w:left w:val="nil"/>
              <w:bottom w:val="nil"/>
              <w:right w:val="nil"/>
            </w:tcBorders>
            <w:tcMar>
              <w:top w:w="60" w:type="dxa"/>
              <w:left w:w="80" w:type="dxa"/>
              <w:bottom w:w="60" w:type="dxa"/>
              <w:right w:w="80" w:type="dxa"/>
            </w:tcMar>
            <w:vAlign w:val="center"/>
          </w:tcPr>
          <w:p w14:paraId="2536B848" w14:textId="77777777" w:rsidR="007A2869" w:rsidRDefault="00000000">
            <w:pPr>
              <w:jc w:val="right"/>
            </w:pPr>
            <w:r>
              <w:rPr>
                <w:sz w:val="17"/>
                <w:szCs w:val="17"/>
              </w:rPr>
              <w:t>0.92</w:t>
            </w:r>
          </w:p>
        </w:tc>
        <w:tc>
          <w:tcPr>
            <w:tcW w:w="830" w:type="dxa"/>
            <w:tcBorders>
              <w:top w:val="nil"/>
              <w:left w:val="nil"/>
              <w:bottom w:val="nil"/>
              <w:right w:val="nil"/>
            </w:tcBorders>
            <w:tcMar>
              <w:top w:w="60" w:type="dxa"/>
              <w:left w:w="80" w:type="dxa"/>
              <w:bottom w:w="60" w:type="dxa"/>
              <w:right w:w="80" w:type="dxa"/>
            </w:tcMar>
            <w:vAlign w:val="center"/>
          </w:tcPr>
          <w:p w14:paraId="2536B849" w14:textId="77777777" w:rsidR="007A2869" w:rsidRDefault="00000000">
            <w:pPr>
              <w:jc w:val="right"/>
            </w:pPr>
            <w:r>
              <w:rPr>
                <w:sz w:val="17"/>
                <w:szCs w:val="17"/>
              </w:rPr>
              <w:t>0.98</w:t>
            </w:r>
          </w:p>
        </w:tc>
        <w:tc>
          <w:tcPr>
            <w:tcW w:w="830" w:type="dxa"/>
            <w:tcBorders>
              <w:top w:val="nil"/>
              <w:left w:val="nil"/>
              <w:bottom w:val="nil"/>
              <w:right w:val="nil"/>
            </w:tcBorders>
            <w:tcMar>
              <w:top w:w="60" w:type="dxa"/>
              <w:left w:w="80" w:type="dxa"/>
              <w:bottom w:w="60" w:type="dxa"/>
              <w:right w:w="80" w:type="dxa"/>
            </w:tcMar>
            <w:vAlign w:val="center"/>
          </w:tcPr>
          <w:p w14:paraId="2536B84A" w14:textId="77777777" w:rsidR="007A2869" w:rsidRDefault="00000000">
            <w:pPr>
              <w:jc w:val="right"/>
            </w:pPr>
            <w:r>
              <w:rPr>
                <w:sz w:val="17"/>
                <w:szCs w:val="17"/>
              </w:rPr>
              <w:t>0.89</w:t>
            </w:r>
          </w:p>
        </w:tc>
        <w:tc>
          <w:tcPr>
            <w:tcW w:w="830" w:type="dxa"/>
            <w:tcBorders>
              <w:top w:val="nil"/>
              <w:left w:val="nil"/>
              <w:bottom w:val="nil"/>
              <w:right w:val="nil"/>
            </w:tcBorders>
            <w:tcMar>
              <w:top w:w="60" w:type="dxa"/>
              <w:left w:w="80" w:type="dxa"/>
              <w:bottom w:w="60" w:type="dxa"/>
              <w:right w:w="80" w:type="dxa"/>
            </w:tcMar>
            <w:vAlign w:val="center"/>
          </w:tcPr>
          <w:p w14:paraId="2536B84B" w14:textId="77777777" w:rsidR="007A2869" w:rsidRDefault="00000000">
            <w:pPr>
              <w:jc w:val="right"/>
            </w:pPr>
            <w:r>
              <w:rPr>
                <w:sz w:val="17"/>
                <w:szCs w:val="17"/>
              </w:rPr>
              <w:t>0.86</w:t>
            </w:r>
          </w:p>
        </w:tc>
        <w:tc>
          <w:tcPr>
            <w:tcW w:w="830" w:type="dxa"/>
            <w:tcBorders>
              <w:top w:val="nil"/>
              <w:left w:val="nil"/>
              <w:bottom w:val="nil"/>
              <w:right w:val="nil"/>
            </w:tcBorders>
            <w:tcMar>
              <w:top w:w="60" w:type="dxa"/>
              <w:left w:w="80" w:type="dxa"/>
              <w:bottom w:w="60" w:type="dxa"/>
              <w:right w:w="80" w:type="dxa"/>
            </w:tcMar>
            <w:vAlign w:val="center"/>
          </w:tcPr>
          <w:p w14:paraId="2536B84C" w14:textId="77777777" w:rsidR="007A2869" w:rsidRDefault="00000000">
            <w:pPr>
              <w:jc w:val="right"/>
            </w:pPr>
            <w:r>
              <w:rPr>
                <w:sz w:val="17"/>
                <w:szCs w:val="17"/>
              </w:rPr>
              <w:t>0.96</w:t>
            </w:r>
          </w:p>
        </w:tc>
        <w:tc>
          <w:tcPr>
            <w:tcW w:w="830" w:type="dxa"/>
            <w:tcBorders>
              <w:top w:val="nil"/>
              <w:left w:val="nil"/>
              <w:bottom w:val="nil"/>
              <w:right w:val="nil"/>
            </w:tcBorders>
            <w:tcMar>
              <w:top w:w="60" w:type="dxa"/>
              <w:left w:w="80" w:type="dxa"/>
              <w:bottom w:w="60" w:type="dxa"/>
              <w:right w:w="80" w:type="dxa"/>
            </w:tcMar>
            <w:vAlign w:val="center"/>
          </w:tcPr>
          <w:p w14:paraId="2536B84D" w14:textId="77777777" w:rsidR="007A2869" w:rsidRDefault="00000000">
            <w:pPr>
              <w:jc w:val="right"/>
            </w:pPr>
            <w:r>
              <w:rPr>
                <w:sz w:val="17"/>
                <w:szCs w:val="17"/>
              </w:rPr>
              <w:t>0.65</w:t>
            </w:r>
          </w:p>
        </w:tc>
      </w:tr>
      <w:tr w:rsidR="007A2869" w14:paraId="2536B85A" w14:textId="77777777">
        <w:tblPrEx>
          <w:tblCellMar>
            <w:top w:w="0" w:type="dxa"/>
            <w:bottom w:w="0" w:type="dxa"/>
          </w:tblCellMar>
        </w:tblPrEx>
        <w:tc>
          <w:tcPr>
            <w:tcW w:w="1060" w:type="dxa"/>
            <w:tcBorders>
              <w:top w:val="nil"/>
              <w:left w:val="nil"/>
              <w:bottom w:val="nil"/>
              <w:right w:val="nil"/>
            </w:tcBorders>
            <w:tcMar>
              <w:top w:w="60" w:type="dxa"/>
              <w:left w:w="80" w:type="dxa"/>
              <w:bottom w:w="60" w:type="dxa"/>
              <w:right w:w="80" w:type="dxa"/>
            </w:tcMar>
            <w:vAlign w:val="center"/>
          </w:tcPr>
          <w:p w14:paraId="2536B84F" w14:textId="77777777" w:rsidR="007A2869" w:rsidRDefault="00000000">
            <w:r>
              <w:rPr>
                <w:sz w:val="17"/>
                <w:szCs w:val="17"/>
              </w:rPr>
              <w:t>DAX</w:t>
            </w:r>
          </w:p>
        </w:tc>
        <w:tc>
          <w:tcPr>
            <w:tcW w:w="830" w:type="dxa"/>
            <w:tcBorders>
              <w:top w:val="nil"/>
              <w:left w:val="nil"/>
              <w:bottom w:val="nil"/>
              <w:right w:val="nil"/>
            </w:tcBorders>
            <w:tcMar>
              <w:top w:w="60" w:type="dxa"/>
              <w:left w:w="80" w:type="dxa"/>
              <w:bottom w:w="60" w:type="dxa"/>
              <w:right w:w="80" w:type="dxa"/>
            </w:tcMar>
            <w:vAlign w:val="center"/>
          </w:tcPr>
          <w:p w14:paraId="2536B850" w14:textId="77777777" w:rsidR="007A2869" w:rsidRDefault="00000000">
            <w:pPr>
              <w:jc w:val="right"/>
            </w:pPr>
            <w:r>
              <w:rPr>
                <w:sz w:val="17"/>
                <w:szCs w:val="17"/>
              </w:rPr>
              <w:t>0.23</w:t>
            </w:r>
          </w:p>
        </w:tc>
        <w:tc>
          <w:tcPr>
            <w:tcW w:w="830" w:type="dxa"/>
            <w:tcBorders>
              <w:top w:val="nil"/>
              <w:left w:val="nil"/>
              <w:bottom w:val="nil"/>
              <w:right w:val="nil"/>
            </w:tcBorders>
            <w:tcMar>
              <w:top w:w="60" w:type="dxa"/>
              <w:left w:w="80" w:type="dxa"/>
              <w:bottom w:w="60" w:type="dxa"/>
              <w:right w:w="80" w:type="dxa"/>
            </w:tcMar>
            <w:vAlign w:val="center"/>
          </w:tcPr>
          <w:p w14:paraId="2536B851" w14:textId="77777777" w:rsidR="007A2869" w:rsidRDefault="00000000">
            <w:pPr>
              <w:jc w:val="right"/>
            </w:pPr>
            <w:r>
              <w:rPr>
                <w:sz w:val="17"/>
                <w:szCs w:val="17"/>
              </w:rPr>
              <w:t>0.17</w:t>
            </w:r>
          </w:p>
        </w:tc>
        <w:tc>
          <w:tcPr>
            <w:tcW w:w="830" w:type="dxa"/>
            <w:tcBorders>
              <w:top w:val="nil"/>
              <w:left w:val="nil"/>
              <w:bottom w:val="nil"/>
              <w:right w:val="nil"/>
            </w:tcBorders>
            <w:tcMar>
              <w:top w:w="60" w:type="dxa"/>
              <w:left w:w="80" w:type="dxa"/>
              <w:bottom w:w="60" w:type="dxa"/>
              <w:right w:w="80" w:type="dxa"/>
            </w:tcMar>
            <w:vAlign w:val="center"/>
          </w:tcPr>
          <w:p w14:paraId="2536B852" w14:textId="77777777" w:rsidR="007A2869" w:rsidRDefault="00000000">
            <w:pPr>
              <w:jc w:val="right"/>
            </w:pPr>
            <w:r>
              <w:rPr>
                <w:sz w:val="17"/>
                <w:szCs w:val="17"/>
              </w:rPr>
              <w:t>0.00</w:t>
            </w:r>
          </w:p>
        </w:tc>
        <w:tc>
          <w:tcPr>
            <w:tcW w:w="830" w:type="dxa"/>
            <w:tcBorders>
              <w:top w:val="nil"/>
              <w:left w:val="nil"/>
              <w:bottom w:val="nil"/>
              <w:right w:val="nil"/>
            </w:tcBorders>
            <w:tcMar>
              <w:top w:w="60" w:type="dxa"/>
              <w:left w:w="80" w:type="dxa"/>
              <w:bottom w:w="60" w:type="dxa"/>
              <w:right w:w="80" w:type="dxa"/>
            </w:tcMar>
            <w:vAlign w:val="center"/>
          </w:tcPr>
          <w:p w14:paraId="2536B853" w14:textId="77777777" w:rsidR="007A2869" w:rsidRDefault="00000000">
            <w:pPr>
              <w:jc w:val="right"/>
            </w:pPr>
            <w:r>
              <w:rPr>
                <w:sz w:val="17"/>
                <w:szCs w:val="17"/>
              </w:rPr>
              <w:t>0.92</w:t>
            </w:r>
          </w:p>
        </w:tc>
        <w:tc>
          <w:tcPr>
            <w:tcW w:w="830" w:type="dxa"/>
            <w:tcBorders>
              <w:top w:val="nil"/>
              <w:left w:val="nil"/>
              <w:bottom w:val="nil"/>
              <w:right w:val="nil"/>
            </w:tcBorders>
            <w:tcMar>
              <w:top w:w="60" w:type="dxa"/>
              <w:left w:w="80" w:type="dxa"/>
              <w:bottom w:w="60" w:type="dxa"/>
              <w:right w:w="80" w:type="dxa"/>
            </w:tcMar>
            <w:vAlign w:val="center"/>
          </w:tcPr>
          <w:p w14:paraId="2536B854" w14:textId="77777777" w:rsidR="007A2869" w:rsidRDefault="00000000">
            <w:pPr>
              <w:jc w:val="right"/>
            </w:pPr>
            <w:r>
              <w:rPr>
                <w:sz w:val="17"/>
                <w:szCs w:val="17"/>
              </w:rPr>
              <w:t>1.00</w:t>
            </w:r>
          </w:p>
        </w:tc>
        <w:tc>
          <w:tcPr>
            <w:tcW w:w="830" w:type="dxa"/>
            <w:tcBorders>
              <w:top w:val="nil"/>
              <w:left w:val="nil"/>
              <w:bottom w:val="nil"/>
              <w:right w:val="nil"/>
            </w:tcBorders>
            <w:tcMar>
              <w:top w:w="60" w:type="dxa"/>
              <w:left w:w="80" w:type="dxa"/>
              <w:bottom w:w="60" w:type="dxa"/>
              <w:right w:w="80" w:type="dxa"/>
            </w:tcMar>
            <w:vAlign w:val="center"/>
          </w:tcPr>
          <w:p w14:paraId="2536B855" w14:textId="77777777" w:rsidR="007A2869" w:rsidRDefault="00000000">
            <w:pPr>
              <w:jc w:val="right"/>
            </w:pPr>
            <w:r>
              <w:rPr>
                <w:sz w:val="17"/>
                <w:szCs w:val="17"/>
              </w:rPr>
              <w:t>0.95</w:t>
            </w:r>
          </w:p>
        </w:tc>
        <w:tc>
          <w:tcPr>
            <w:tcW w:w="830" w:type="dxa"/>
            <w:tcBorders>
              <w:top w:val="nil"/>
              <w:left w:val="nil"/>
              <w:bottom w:val="nil"/>
              <w:right w:val="nil"/>
            </w:tcBorders>
            <w:tcMar>
              <w:top w:w="60" w:type="dxa"/>
              <w:left w:w="80" w:type="dxa"/>
              <w:bottom w:w="60" w:type="dxa"/>
              <w:right w:w="80" w:type="dxa"/>
            </w:tcMar>
            <w:vAlign w:val="center"/>
          </w:tcPr>
          <w:p w14:paraId="2536B856" w14:textId="77777777" w:rsidR="007A2869" w:rsidRDefault="00000000">
            <w:pPr>
              <w:jc w:val="right"/>
            </w:pPr>
            <w:r>
              <w:rPr>
                <w:sz w:val="17"/>
                <w:szCs w:val="17"/>
              </w:rPr>
              <w:t>0.85</w:t>
            </w:r>
          </w:p>
        </w:tc>
        <w:tc>
          <w:tcPr>
            <w:tcW w:w="830" w:type="dxa"/>
            <w:tcBorders>
              <w:top w:val="nil"/>
              <w:left w:val="nil"/>
              <w:bottom w:val="nil"/>
              <w:right w:val="nil"/>
            </w:tcBorders>
            <w:tcMar>
              <w:top w:w="60" w:type="dxa"/>
              <w:left w:w="80" w:type="dxa"/>
              <w:bottom w:w="60" w:type="dxa"/>
              <w:right w:w="80" w:type="dxa"/>
            </w:tcMar>
            <w:vAlign w:val="center"/>
          </w:tcPr>
          <w:p w14:paraId="2536B857" w14:textId="77777777" w:rsidR="007A2869" w:rsidRDefault="00000000">
            <w:pPr>
              <w:jc w:val="right"/>
            </w:pPr>
            <w:r>
              <w:rPr>
                <w:sz w:val="17"/>
                <w:szCs w:val="17"/>
              </w:rPr>
              <w:t>0.82</w:t>
            </w:r>
          </w:p>
        </w:tc>
        <w:tc>
          <w:tcPr>
            <w:tcW w:w="830" w:type="dxa"/>
            <w:tcBorders>
              <w:top w:val="nil"/>
              <w:left w:val="nil"/>
              <w:bottom w:val="nil"/>
              <w:right w:val="nil"/>
            </w:tcBorders>
            <w:tcMar>
              <w:top w:w="60" w:type="dxa"/>
              <w:left w:w="80" w:type="dxa"/>
              <w:bottom w:w="60" w:type="dxa"/>
              <w:right w:w="80" w:type="dxa"/>
            </w:tcMar>
            <w:vAlign w:val="center"/>
          </w:tcPr>
          <w:p w14:paraId="2536B858" w14:textId="77777777" w:rsidR="007A2869" w:rsidRDefault="00000000">
            <w:pPr>
              <w:jc w:val="right"/>
            </w:pPr>
            <w:r>
              <w:rPr>
                <w:sz w:val="17"/>
                <w:szCs w:val="17"/>
              </w:rPr>
              <w:t>0.93</w:t>
            </w:r>
          </w:p>
        </w:tc>
        <w:tc>
          <w:tcPr>
            <w:tcW w:w="830" w:type="dxa"/>
            <w:tcBorders>
              <w:top w:val="nil"/>
              <w:left w:val="nil"/>
              <w:bottom w:val="nil"/>
              <w:right w:val="nil"/>
            </w:tcBorders>
            <w:tcMar>
              <w:top w:w="60" w:type="dxa"/>
              <w:left w:w="80" w:type="dxa"/>
              <w:bottom w:w="60" w:type="dxa"/>
              <w:right w:w="80" w:type="dxa"/>
            </w:tcMar>
            <w:vAlign w:val="center"/>
          </w:tcPr>
          <w:p w14:paraId="2536B859" w14:textId="77777777" w:rsidR="007A2869" w:rsidRDefault="00000000">
            <w:pPr>
              <w:jc w:val="right"/>
            </w:pPr>
            <w:r>
              <w:rPr>
                <w:sz w:val="17"/>
                <w:szCs w:val="17"/>
              </w:rPr>
              <w:t>0.62</w:t>
            </w:r>
          </w:p>
        </w:tc>
      </w:tr>
      <w:tr w:rsidR="007A2869" w14:paraId="2536B866" w14:textId="77777777">
        <w:tblPrEx>
          <w:tblCellMar>
            <w:top w:w="0" w:type="dxa"/>
            <w:bottom w:w="0" w:type="dxa"/>
          </w:tblCellMar>
        </w:tblPrEx>
        <w:tc>
          <w:tcPr>
            <w:tcW w:w="1060" w:type="dxa"/>
            <w:tcBorders>
              <w:top w:val="nil"/>
              <w:left w:val="nil"/>
              <w:bottom w:val="nil"/>
              <w:right w:val="nil"/>
            </w:tcBorders>
            <w:tcMar>
              <w:top w:w="60" w:type="dxa"/>
              <w:left w:w="80" w:type="dxa"/>
              <w:bottom w:w="60" w:type="dxa"/>
              <w:right w:w="80" w:type="dxa"/>
            </w:tcMar>
            <w:vAlign w:val="center"/>
          </w:tcPr>
          <w:p w14:paraId="2536B85B" w14:textId="77777777" w:rsidR="007A2869" w:rsidRDefault="00000000">
            <w:r>
              <w:rPr>
                <w:sz w:val="17"/>
                <w:szCs w:val="17"/>
              </w:rPr>
              <w:t>EuroSx</w:t>
            </w:r>
          </w:p>
        </w:tc>
        <w:tc>
          <w:tcPr>
            <w:tcW w:w="830" w:type="dxa"/>
            <w:tcBorders>
              <w:top w:val="nil"/>
              <w:left w:val="nil"/>
              <w:bottom w:val="nil"/>
              <w:right w:val="nil"/>
            </w:tcBorders>
            <w:tcMar>
              <w:top w:w="60" w:type="dxa"/>
              <w:left w:w="80" w:type="dxa"/>
              <w:bottom w:w="60" w:type="dxa"/>
              <w:right w:w="80" w:type="dxa"/>
            </w:tcMar>
            <w:vAlign w:val="center"/>
          </w:tcPr>
          <w:p w14:paraId="2536B85C" w14:textId="77777777" w:rsidR="007A2869" w:rsidRDefault="00000000">
            <w:pPr>
              <w:jc w:val="right"/>
            </w:pPr>
            <w:r>
              <w:rPr>
                <w:sz w:val="17"/>
                <w:szCs w:val="17"/>
              </w:rPr>
              <w:t>0.24</w:t>
            </w:r>
          </w:p>
        </w:tc>
        <w:tc>
          <w:tcPr>
            <w:tcW w:w="830" w:type="dxa"/>
            <w:tcBorders>
              <w:top w:val="nil"/>
              <w:left w:val="nil"/>
              <w:bottom w:val="nil"/>
              <w:right w:val="nil"/>
            </w:tcBorders>
            <w:tcMar>
              <w:top w:w="60" w:type="dxa"/>
              <w:left w:w="80" w:type="dxa"/>
              <w:bottom w:w="60" w:type="dxa"/>
              <w:right w:w="80" w:type="dxa"/>
            </w:tcMar>
            <w:vAlign w:val="center"/>
          </w:tcPr>
          <w:p w14:paraId="2536B85D" w14:textId="77777777" w:rsidR="007A2869" w:rsidRDefault="00000000">
            <w:pPr>
              <w:jc w:val="right"/>
            </w:pPr>
            <w:r>
              <w:rPr>
                <w:sz w:val="17"/>
                <w:szCs w:val="17"/>
              </w:rPr>
              <w:t>0.20</w:t>
            </w:r>
          </w:p>
        </w:tc>
        <w:tc>
          <w:tcPr>
            <w:tcW w:w="830" w:type="dxa"/>
            <w:tcBorders>
              <w:top w:val="nil"/>
              <w:left w:val="nil"/>
              <w:bottom w:val="nil"/>
              <w:right w:val="nil"/>
            </w:tcBorders>
            <w:tcMar>
              <w:top w:w="60" w:type="dxa"/>
              <w:left w:w="80" w:type="dxa"/>
              <w:bottom w:w="60" w:type="dxa"/>
              <w:right w:w="80" w:type="dxa"/>
            </w:tcMar>
            <w:vAlign w:val="center"/>
          </w:tcPr>
          <w:p w14:paraId="2536B85E" w14:textId="77777777" w:rsidR="007A2869" w:rsidRDefault="00000000">
            <w:pPr>
              <w:jc w:val="right"/>
            </w:pPr>
            <w:r>
              <w:rPr>
                <w:sz w:val="17"/>
                <w:szCs w:val="17"/>
              </w:rPr>
              <w:t>-0.01</w:t>
            </w:r>
          </w:p>
        </w:tc>
        <w:tc>
          <w:tcPr>
            <w:tcW w:w="830" w:type="dxa"/>
            <w:tcBorders>
              <w:top w:val="nil"/>
              <w:left w:val="nil"/>
              <w:bottom w:val="nil"/>
              <w:right w:val="nil"/>
            </w:tcBorders>
            <w:tcMar>
              <w:top w:w="60" w:type="dxa"/>
              <w:left w:w="80" w:type="dxa"/>
              <w:bottom w:w="60" w:type="dxa"/>
              <w:right w:w="80" w:type="dxa"/>
            </w:tcMar>
            <w:vAlign w:val="center"/>
          </w:tcPr>
          <w:p w14:paraId="2536B85F" w14:textId="77777777" w:rsidR="007A2869" w:rsidRDefault="00000000">
            <w:pPr>
              <w:jc w:val="right"/>
            </w:pPr>
            <w:r>
              <w:rPr>
                <w:sz w:val="17"/>
                <w:szCs w:val="17"/>
              </w:rPr>
              <w:t>0.98</w:t>
            </w:r>
          </w:p>
        </w:tc>
        <w:tc>
          <w:tcPr>
            <w:tcW w:w="830" w:type="dxa"/>
            <w:tcBorders>
              <w:top w:val="nil"/>
              <w:left w:val="nil"/>
              <w:bottom w:val="nil"/>
              <w:right w:val="nil"/>
            </w:tcBorders>
            <w:tcMar>
              <w:top w:w="60" w:type="dxa"/>
              <w:left w:w="80" w:type="dxa"/>
              <w:bottom w:w="60" w:type="dxa"/>
              <w:right w:w="80" w:type="dxa"/>
            </w:tcMar>
            <w:vAlign w:val="center"/>
          </w:tcPr>
          <w:p w14:paraId="2536B860" w14:textId="77777777" w:rsidR="007A2869" w:rsidRDefault="00000000">
            <w:pPr>
              <w:jc w:val="right"/>
            </w:pPr>
            <w:r>
              <w:rPr>
                <w:sz w:val="17"/>
                <w:szCs w:val="17"/>
              </w:rPr>
              <w:t>0.95</w:t>
            </w:r>
          </w:p>
        </w:tc>
        <w:tc>
          <w:tcPr>
            <w:tcW w:w="830" w:type="dxa"/>
            <w:tcBorders>
              <w:top w:val="nil"/>
              <w:left w:val="nil"/>
              <w:bottom w:val="nil"/>
              <w:right w:val="nil"/>
            </w:tcBorders>
            <w:tcMar>
              <w:top w:w="60" w:type="dxa"/>
              <w:left w:w="80" w:type="dxa"/>
              <w:bottom w:w="60" w:type="dxa"/>
              <w:right w:w="80" w:type="dxa"/>
            </w:tcMar>
            <w:vAlign w:val="center"/>
          </w:tcPr>
          <w:p w14:paraId="2536B861" w14:textId="77777777" w:rsidR="007A2869" w:rsidRDefault="00000000">
            <w:pPr>
              <w:jc w:val="right"/>
            </w:pPr>
            <w:r>
              <w:rPr>
                <w:sz w:val="17"/>
                <w:szCs w:val="17"/>
              </w:rPr>
              <w:t>1.00</w:t>
            </w:r>
          </w:p>
        </w:tc>
        <w:tc>
          <w:tcPr>
            <w:tcW w:w="830" w:type="dxa"/>
            <w:tcBorders>
              <w:top w:val="nil"/>
              <w:left w:val="nil"/>
              <w:bottom w:val="nil"/>
              <w:right w:val="nil"/>
            </w:tcBorders>
            <w:tcMar>
              <w:top w:w="60" w:type="dxa"/>
              <w:left w:w="80" w:type="dxa"/>
              <w:bottom w:w="60" w:type="dxa"/>
              <w:right w:w="80" w:type="dxa"/>
            </w:tcMar>
            <w:vAlign w:val="center"/>
          </w:tcPr>
          <w:p w14:paraId="2536B862" w14:textId="77777777" w:rsidR="007A2869" w:rsidRDefault="00000000">
            <w:pPr>
              <w:jc w:val="right"/>
            </w:pPr>
            <w:r>
              <w:rPr>
                <w:sz w:val="17"/>
                <w:szCs w:val="17"/>
              </w:rPr>
              <w:t>0.91</w:t>
            </w:r>
          </w:p>
        </w:tc>
        <w:tc>
          <w:tcPr>
            <w:tcW w:w="830" w:type="dxa"/>
            <w:tcBorders>
              <w:top w:val="nil"/>
              <w:left w:val="nil"/>
              <w:bottom w:val="nil"/>
              <w:right w:val="nil"/>
            </w:tcBorders>
            <w:tcMar>
              <w:top w:w="60" w:type="dxa"/>
              <w:left w:w="80" w:type="dxa"/>
              <w:bottom w:w="60" w:type="dxa"/>
              <w:right w:w="80" w:type="dxa"/>
            </w:tcMar>
            <w:vAlign w:val="center"/>
          </w:tcPr>
          <w:p w14:paraId="2536B863" w14:textId="77777777" w:rsidR="007A2869" w:rsidRDefault="00000000">
            <w:pPr>
              <w:jc w:val="right"/>
            </w:pPr>
            <w:r>
              <w:rPr>
                <w:sz w:val="17"/>
                <w:szCs w:val="17"/>
              </w:rPr>
              <w:t>0.89</w:t>
            </w:r>
          </w:p>
        </w:tc>
        <w:tc>
          <w:tcPr>
            <w:tcW w:w="830" w:type="dxa"/>
            <w:tcBorders>
              <w:top w:val="nil"/>
              <w:left w:val="nil"/>
              <w:bottom w:val="nil"/>
              <w:right w:val="nil"/>
            </w:tcBorders>
            <w:tcMar>
              <w:top w:w="60" w:type="dxa"/>
              <w:left w:w="80" w:type="dxa"/>
              <w:bottom w:w="60" w:type="dxa"/>
              <w:right w:w="80" w:type="dxa"/>
            </w:tcMar>
            <w:vAlign w:val="center"/>
          </w:tcPr>
          <w:p w14:paraId="2536B864" w14:textId="77777777" w:rsidR="007A2869" w:rsidRDefault="00000000">
            <w:pPr>
              <w:jc w:val="right"/>
            </w:pPr>
            <w:r>
              <w:rPr>
                <w:sz w:val="17"/>
                <w:szCs w:val="17"/>
              </w:rPr>
              <w:t>0.96</w:t>
            </w:r>
          </w:p>
        </w:tc>
        <w:tc>
          <w:tcPr>
            <w:tcW w:w="830" w:type="dxa"/>
            <w:tcBorders>
              <w:top w:val="nil"/>
              <w:left w:val="nil"/>
              <w:bottom w:val="nil"/>
              <w:right w:val="nil"/>
            </w:tcBorders>
            <w:tcMar>
              <w:top w:w="60" w:type="dxa"/>
              <w:left w:w="80" w:type="dxa"/>
              <w:bottom w:w="60" w:type="dxa"/>
              <w:right w:w="80" w:type="dxa"/>
            </w:tcMar>
            <w:vAlign w:val="center"/>
          </w:tcPr>
          <w:p w14:paraId="2536B865" w14:textId="77777777" w:rsidR="007A2869" w:rsidRDefault="00000000">
            <w:pPr>
              <w:jc w:val="right"/>
            </w:pPr>
            <w:r>
              <w:rPr>
                <w:sz w:val="17"/>
                <w:szCs w:val="17"/>
              </w:rPr>
              <w:t>0.64</w:t>
            </w:r>
          </w:p>
        </w:tc>
      </w:tr>
      <w:tr w:rsidR="007A2869" w14:paraId="2536B872" w14:textId="77777777">
        <w:tblPrEx>
          <w:tblCellMar>
            <w:top w:w="0" w:type="dxa"/>
            <w:bottom w:w="0" w:type="dxa"/>
          </w:tblCellMar>
        </w:tblPrEx>
        <w:tc>
          <w:tcPr>
            <w:tcW w:w="1060" w:type="dxa"/>
            <w:tcBorders>
              <w:top w:val="nil"/>
              <w:left w:val="nil"/>
              <w:bottom w:val="nil"/>
              <w:right w:val="nil"/>
            </w:tcBorders>
            <w:tcMar>
              <w:top w:w="60" w:type="dxa"/>
              <w:left w:w="80" w:type="dxa"/>
              <w:bottom w:w="60" w:type="dxa"/>
              <w:right w:w="80" w:type="dxa"/>
            </w:tcMar>
            <w:vAlign w:val="center"/>
          </w:tcPr>
          <w:p w14:paraId="2536B867" w14:textId="77777777" w:rsidR="007A2869" w:rsidRDefault="00000000">
            <w:r>
              <w:rPr>
                <w:sz w:val="17"/>
                <w:szCs w:val="17"/>
              </w:rPr>
              <w:t>MIB</w:t>
            </w:r>
          </w:p>
        </w:tc>
        <w:tc>
          <w:tcPr>
            <w:tcW w:w="830" w:type="dxa"/>
            <w:tcBorders>
              <w:top w:val="nil"/>
              <w:left w:val="nil"/>
              <w:bottom w:val="nil"/>
              <w:right w:val="nil"/>
            </w:tcBorders>
            <w:tcMar>
              <w:top w:w="60" w:type="dxa"/>
              <w:left w:w="80" w:type="dxa"/>
              <w:bottom w:w="60" w:type="dxa"/>
              <w:right w:w="80" w:type="dxa"/>
            </w:tcMar>
            <w:vAlign w:val="center"/>
          </w:tcPr>
          <w:p w14:paraId="2536B868" w14:textId="77777777" w:rsidR="007A2869" w:rsidRDefault="00000000">
            <w:pPr>
              <w:jc w:val="right"/>
            </w:pPr>
            <w:r>
              <w:rPr>
                <w:sz w:val="17"/>
                <w:szCs w:val="17"/>
              </w:rPr>
              <w:t>0.22</w:t>
            </w:r>
          </w:p>
        </w:tc>
        <w:tc>
          <w:tcPr>
            <w:tcW w:w="830" w:type="dxa"/>
            <w:tcBorders>
              <w:top w:val="nil"/>
              <w:left w:val="nil"/>
              <w:bottom w:val="nil"/>
              <w:right w:val="nil"/>
            </w:tcBorders>
            <w:tcMar>
              <w:top w:w="60" w:type="dxa"/>
              <w:left w:w="80" w:type="dxa"/>
              <w:bottom w:w="60" w:type="dxa"/>
              <w:right w:w="80" w:type="dxa"/>
            </w:tcMar>
            <w:vAlign w:val="center"/>
          </w:tcPr>
          <w:p w14:paraId="2536B869" w14:textId="77777777" w:rsidR="007A2869" w:rsidRDefault="00000000">
            <w:pPr>
              <w:jc w:val="right"/>
            </w:pPr>
            <w:r>
              <w:rPr>
                <w:sz w:val="17"/>
                <w:szCs w:val="17"/>
              </w:rPr>
              <w:t>0.21</w:t>
            </w:r>
          </w:p>
        </w:tc>
        <w:tc>
          <w:tcPr>
            <w:tcW w:w="830" w:type="dxa"/>
            <w:tcBorders>
              <w:top w:val="nil"/>
              <w:left w:val="nil"/>
              <w:bottom w:val="nil"/>
              <w:right w:val="nil"/>
            </w:tcBorders>
            <w:tcMar>
              <w:top w:w="60" w:type="dxa"/>
              <w:left w:w="80" w:type="dxa"/>
              <w:bottom w:w="60" w:type="dxa"/>
              <w:right w:w="80" w:type="dxa"/>
            </w:tcMar>
            <w:vAlign w:val="center"/>
          </w:tcPr>
          <w:p w14:paraId="2536B86A" w14:textId="77777777" w:rsidR="007A2869" w:rsidRDefault="00000000">
            <w:pPr>
              <w:jc w:val="right"/>
            </w:pPr>
            <w:r>
              <w:rPr>
                <w:sz w:val="17"/>
                <w:szCs w:val="17"/>
              </w:rPr>
              <w:t>-0.02</w:t>
            </w:r>
          </w:p>
        </w:tc>
        <w:tc>
          <w:tcPr>
            <w:tcW w:w="830" w:type="dxa"/>
            <w:tcBorders>
              <w:top w:val="nil"/>
              <w:left w:val="nil"/>
              <w:bottom w:val="nil"/>
              <w:right w:val="nil"/>
            </w:tcBorders>
            <w:tcMar>
              <w:top w:w="60" w:type="dxa"/>
              <w:left w:w="80" w:type="dxa"/>
              <w:bottom w:w="60" w:type="dxa"/>
              <w:right w:w="80" w:type="dxa"/>
            </w:tcMar>
            <w:vAlign w:val="center"/>
          </w:tcPr>
          <w:p w14:paraId="2536B86B" w14:textId="77777777" w:rsidR="007A2869" w:rsidRDefault="00000000">
            <w:pPr>
              <w:jc w:val="right"/>
            </w:pPr>
            <w:r>
              <w:rPr>
                <w:sz w:val="17"/>
                <w:szCs w:val="17"/>
              </w:rPr>
              <w:t>0.89</w:t>
            </w:r>
          </w:p>
        </w:tc>
        <w:tc>
          <w:tcPr>
            <w:tcW w:w="830" w:type="dxa"/>
            <w:tcBorders>
              <w:top w:val="nil"/>
              <w:left w:val="nil"/>
              <w:bottom w:val="nil"/>
              <w:right w:val="nil"/>
            </w:tcBorders>
            <w:tcMar>
              <w:top w:w="60" w:type="dxa"/>
              <w:left w:w="80" w:type="dxa"/>
              <w:bottom w:w="60" w:type="dxa"/>
              <w:right w:w="80" w:type="dxa"/>
            </w:tcMar>
            <w:vAlign w:val="center"/>
          </w:tcPr>
          <w:p w14:paraId="2536B86C" w14:textId="77777777" w:rsidR="007A2869" w:rsidRDefault="00000000">
            <w:pPr>
              <w:jc w:val="right"/>
            </w:pPr>
            <w:r>
              <w:rPr>
                <w:sz w:val="17"/>
                <w:szCs w:val="17"/>
              </w:rPr>
              <w:t>0.85</w:t>
            </w:r>
          </w:p>
        </w:tc>
        <w:tc>
          <w:tcPr>
            <w:tcW w:w="830" w:type="dxa"/>
            <w:tcBorders>
              <w:top w:val="nil"/>
              <w:left w:val="nil"/>
              <w:bottom w:val="nil"/>
              <w:right w:val="nil"/>
            </w:tcBorders>
            <w:tcMar>
              <w:top w:w="60" w:type="dxa"/>
              <w:left w:w="80" w:type="dxa"/>
              <w:bottom w:w="60" w:type="dxa"/>
              <w:right w:w="80" w:type="dxa"/>
            </w:tcMar>
            <w:vAlign w:val="center"/>
          </w:tcPr>
          <w:p w14:paraId="2536B86D" w14:textId="77777777" w:rsidR="007A2869" w:rsidRDefault="00000000">
            <w:pPr>
              <w:jc w:val="right"/>
            </w:pPr>
            <w:r>
              <w:rPr>
                <w:sz w:val="17"/>
                <w:szCs w:val="17"/>
              </w:rPr>
              <w:t>0.91</w:t>
            </w:r>
          </w:p>
        </w:tc>
        <w:tc>
          <w:tcPr>
            <w:tcW w:w="830" w:type="dxa"/>
            <w:tcBorders>
              <w:top w:val="nil"/>
              <w:left w:val="nil"/>
              <w:bottom w:val="nil"/>
              <w:right w:val="nil"/>
            </w:tcBorders>
            <w:tcMar>
              <w:top w:w="60" w:type="dxa"/>
              <w:left w:w="80" w:type="dxa"/>
              <w:bottom w:w="60" w:type="dxa"/>
              <w:right w:w="80" w:type="dxa"/>
            </w:tcMar>
            <w:vAlign w:val="center"/>
          </w:tcPr>
          <w:p w14:paraId="2536B86E" w14:textId="77777777" w:rsidR="007A2869" w:rsidRDefault="00000000">
            <w:pPr>
              <w:jc w:val="right"/>
            </w:pPr>
            <w:r>
              <w:rPr>
                <w:sz w:val="17"/>
                <w:szCs w:val="17"/>
              </w:rPr>
              <w:t>1.00</w:t>
            </w:r>
          </w:p>
        </w:tc>
        <w:tc>
          <w:tcPr>
            <w:tcW w:w="830" w:type="dxa"/>
            <w:tcBorders>
              <w:top w:val="nil"/>
              <w:left w:val="nil"/>
              <w:bottom w:val="nil"/>
              <w:right w:val="nil"/>
            </w:tcBorders>
            <w:tcMar>
              <w:top w:w="60" w:type="dxa"/>
              <w:left w:w="80" w:type="dxa"/>
              <w:bottom w:w="60" w:type="dxa"/>
              <w:right w:w="80" w:type="dxa"/>
            </w:tcMar>
            <w:vAlign w:val="center"/>
          </w:tcPr>
          <w:p w14:paraId="2536B86F" w14:textId="77777777" w:rsidR="007A2869" w:rsidRDefault="00000000">
            <w:pPr>
              <w:jc w:val="right"/>
            </w:pPr>
            <w:r>
              <w:rPr>
                <w:sz w:val="17"/>
                <w:szCs w:val="17"/>
              </w:rPr>
              <w:t>0.87</w:t>
            </w:r>
          </w:p>
        </w:tc>
        <w:tc>
          <w:tcPr>
            <w:tcW w:w="830" w:type="dxa"/>
            <w:tcBorders>
              <w:top w:val="nil"/>
              <w:left w:val="nil"/>
              <w:bottom w:val="nil"/>
              <w:right w:val="nil"/>
            </w:tcBorders>
            <w:tcMar>
              <w:top w:w="60" w:type="dxa"/>
              <w:left w:w="80" w:type="dxa"/>
              <w:bottom w:w="60" w:type="dxa"/>
              <w:right w:w="80" w:type="dxa"/>
            </w:tcMar>
            <w:vAlign w:val="center"/>
          </w:tcPr>
          <w:p w14:paraId="2536B870" w14:textId="77777777" w:rsidR="007A2869" w:rsidRDefault="00000000">
            <w:pPr>
              <w:jc w:val="right"/>
            </w:pPr>
            <w:r>
              <w:rPr>
                <w:sz w:val="17"/>
                <w:szCs w:val="17"/>
              </w:rPr>
              <w:t>0.88</w:t>
            </w:r>
          </w:p>
        </w:tc>
        <w:tc>
          <w:tcPr>
            <w:tcW w:w="830" w:type="dxa"/>
            <w:tcBorders>
              <w:top w:val="nil"/>
              <w:left w:val="nil"/>
              <w:bottom w:val="nil"/>
              <w:right w:val="nil"/>
            </w:tcBorders>
            <w:tcMar>
              <w:top w:w="60" w:type="dxa"/>
              <w:left w:w="80" w:type="dxa"/>
              <w:bottom w:w="60" w:type="dxa"/>
              <w:right w:w="80" w:type="dxa"/>
            </w:tcMar>
            <w:vAlign w:val="center"/>
          </w:tcPr>
          <w:p w14:paraId="2536B871" w14:textId="77777777" w:rsidR="007A2869" w:rsidRDefault="00000000">
            <w:pPr>
              <w:jc w:val="right"/>
            </w:pPr>
            <w:r>
              <w:rPr>
                <w:sz w:val="17"/>
                <w:szCs w:val="17"/>
              </w:rPr>
              <w:t>0.63</w:t>
            </w:r>
          </w:p>
        </w:tc>
      </w:tr>
      <w:tr w:rsidR="007A2869" w14:paraId="2536B87E" w14:textId="77777777">
        <w:tblPrEx>
          <w:tblCellMar>
            <w:top w:w="0" w:type="dxa"/>
            <w:bottom w:w="0" w:type="dxa"/>
          </w:tblCellMar>
        </w:tblPrEx>
        <w:tc>
          <w:tcPr>
            <w:tcW w:w="1060" w:type="dxa"/>
            <w:tcBorders>
              <w:top w:val="nil"/>
              <w:left w:val="nil"/>
              <w:bottom w:val="nil"/>
              <w:right w:val="nil"/>
            </w:tcBorders>
            <w:tcMar>
              <w:top w:w="60" w:type="dxa"/>
              <w:left w:w="80" w:type="dxa"/>
              <w:bottom w:w="60" w:type="dxa"/>
              <w:right w:w="80" w:type="dxa"/>
            </w:tcMar>
            <w:vAlign w:val="center"/>
          </w:tcPr>
          <w:p w14:paraId="2536B873" w14:textId="77777777" w:rsidR="007A2869" w:rsidRDefault="00000000">
            <w:r>
              <w:rPr>
                <w:sz w:val="17"/>
                <w:szCs w:val="17"/>
              </w:rPr>
              <w:t>IBEX</w:t>
            </w:r>
          </w:p>
        </w:tc>
        <w:tc>
          <w:tcPr>
            <w:tcW w:w="830" w:type="dxa"/>
            <w:tcBorders>
              <w:top w:val="nil"/>
              <w:left w:val="nil"/>
              <w:bottom w:val="nil"/>
              <w:right w:val="nil"/>
            </w:tcBorders>
            <w:tcMar>
              <w:top w:w="60" w:type="dxa"/>
              <w:left w:w="80" w:type="dxa"/>
              <w:bottom w:w="60" w:type="dxa"/>
              <w:right w:w="80" w:type="dxa"/>
            </w:tcMar>
            <w:vAlign w:val="center"/>
          </w:tcPr>
          <w:p w14:paraId="2536B874" w14:textId="77777777" w:rsidR="007A2869" w:rsidRDefault="00000000">
            <w:pPr>
              <w:jc w:val="right"/>
            </w:pPr>
            <w:r>
              <w:rPr>
                <w:sz w:val="17"/>
                <w:szCs w:val="17"/>
              </w:rPr>
              <w:t>0.18</w:t>
            </w:r>
          </w:p>
        </w:tc>
        <w:tc>
          <w:tcPr>
            <w:tcW w:w="830" w:type="dxa"/>
            <w:tcBorders>
              <w:top w:val="nil"/>
              <w:left w:val="nil"/>
              <w:bottom w:val="nil"/>
              <w:right w:val="nil"/>
            </w:tcBorders>
            <w:tcMar>
              <w:top w:w="60" w:type="dxa"/>
              <w:left w:w="80" w:type="dxa"/>
              <w:bottom w:w="60" w:type="dxa"/>
              <w:right w:w="80" w:type="dxa"/>
            </w:tcMar>
            <w:vAlign w:val="center"/>
          </w:tcPr>
          <w:p w14:paraId="2536B875" w14:textId="77777777" w:rsidR="007A2869" w:rsidRDefault="00000000">
            <w:pPr>
              <w:jc w:val="right"/>
            </w:pPr>
            <w:r>
              <w:rPr>
                <w:sz w:val="17"/>
                <w:szCs w:val="17"/>
              </w:rPr>
              <w:t>0.18</w:t>
            </w:r>
          </w:p>
        </w:tc>
        <w:tc>
          <w:tcPr>
            <w:tcW w:w="830" w:type="dxa"/>
            <w:tcBorders>
              <w:top w:val="nil"/>
              <w:left w:val="nil"/>
              <w:bottom w:val="nil"/>
              <w:right w:val="nil"/>
            </w:tcBorders>
            <w:tcMar>
              <w:top w:w="60" w:type="dxa"/>
              <w:left w:w="80" w:type="dxa"/>
              <w:bottom w:w="60" w:type="dxa"/>
              <w:right w:w="80" w:type="dxa"/>
            </w:tcMar>
            <w:vAlign w:val="center"/>
          </w:tcPr>
          <w:p w14:paraId="2536B876" w14:textId="77777777" w:rsidR="007A2869" w:rsidRDefault="00000000">
            <w:pPr>
              <w:jc w:val="right"/>
            </w:pPr>
            <w:r>
              <w:rPr>
                <w:sz w:val="17"/>
                <w:szCs w:val="17"/>
              </w:rPr>
              <w:t>-0.01</w:t>
            </w:r>
          </w:p>
        </w:tc>
        <w:tc>
          <w:tcPr>
            <w:tcW w:w="830" w:type="dxa"/>
            <w:tcBorders>
              <w:top w:val="nil"/>
              <w:left w:val="nil"/>
              <w:bottom w:val="nil"/>
              <w:right w:val="nil"/>
            </w:tcBorders>
            <w:tcMar>
              <w:top w:w="60" w:type="dxa"/>
              <w:left w:w="80" w:type="dxa"/>
              <w:bottom w:w="60" w:type="dxa"/>
              <w:right w:w="80" w:type="dxa"/>
            </w:tcMar>
            <w:vAlign w:val="center"/>
          </w:tcPr>
          <w:p w14:paraId="2536B877" w14:textId="77777777" w:rsidR="007A2869" w:rsidRDefault="00000000">
            <w:pPr>
              <w:jc w:val="right"/>
            </w:pPr>
            <w:r>
              <w:rPr>
                <w:sz w:val="17"/>
                <w:szCs w:val="17"/>
              </w:rPr>
              <w:t>0.86</w:t>
            </w:r>
          </w:p>
        </w:tc>
        <w:tc>
          <w:tcPr>
            <w:tcW w:w="830" w:type="dxa"/>
            <w:tcBorders>
              <w:top w:val="nil"/>
              <w:left w:val="nil"/>
              <w:bottom w:val="nil"/>
              <w:right w:val="nil"/>
            </w:tcBorders>
            <w:tcMar>
              <w:top w:w="60" w:type="dxa"/>
              <w:left w:w="80" w:type="dxa"/>
              <w:bottom w:w="60" w:type="dxa"/>
              <w:right w:w="80" w:type="dxa"/>
            </w:tcMar>
            <w:vAlign w:val="center"/>
          </w:tcPr>
          <w:p w14:paraId="2536B878" w14:textId="77777777" w:rsidR="007A2869" w:rsidRDefault="00000000">
            <w:pPr>
              <w:jc w:val="right"/>
            </w:pPr>
            <w:r>
              <w:rPr>
                <w:sz w:val="17"/>
                <w:szCs w:val="17"/>
              </w:rPr>
              <w:t>0.82</w:t>
            </w:r>
          </w:p>
        </w:tc>
        <w:tc>
          <w:tcPr>
            <w:tcW w:w="830" w:type="dxa"/>
            <w:tcBorders>
              <w:top w:val="nil"/>
              <w:left w:val="nil"/>
              <w:bottom w:val="nil"/>
              <w:right w:val="nil"/>
            </w:tcBorders>
            <w:tcMar>
              <w:top w:w="60" w:type="dxa"/>
              <w:left w:w="80" w:type="dxa"/>
              <w:bottom w:w="60" w:type="dxa"/>
              <w:right w:w="80" w:type="dxa"/>
            </w:tcMar>
            <w:vAlign w:val="center"/>
          </w:tcPr>
          <w:p w14:paraId="2536B879" w14:textId="77777777" w:rsidR="007A2869" w:rsidRDefault="00000000">
            <w:pPr>
              <w:jc w:val="right"/>
            </w:pPr>
            <w:r>
              <w:rPr>
                <w:sz w:val="17"/>
                <w:szCs w:val="17"/>
              </w:rPr>
              <w:t>0.89</w:t>
            </w:r>
          </w:p>
        </w:tc>
        <w:tc>
          <w:tcPr>
            <w:tcW w:w="830" w:type="dxa"/>
            <w:tcBorders>
              <w:top w:val="nil"/>
              <w:left w:val="nil"/>
              <w:bottom w:val="nil"/>
              <w:right w:val="nil"/>
            </w:tcBorders>
            <w:tcMar>
              <w:top w:w="60" w:type="dxa"/>
              <w:left w:w="80" w:type="dxa"/>
              <w:bottom w:w="60" w:type="dxa"/>
              <w:right w:w="80" w:type="dxa"/>
            </w:tcMar>
            <w:vAlign w:val="center"/>
          </w:tcPr>
          <w:p w14:paraId="2536B87A" w14:textId="77777777" w:rsidR="007A2869" w:rsidRDefault="00000000">
            <w:pPr>
              <w:jc w:val="right"/>
            </w:pPr>
            <w:r>
              <w:rPr>
                <w:sz w:val="17"/>
                <w:szCs w:val="17"/>
              </w:rPr>
              <w:t>0.87</w:t>
            </w:r>
          </w:p>
        </w:tc>
        <w:tc>
          <w:tcPr>
            <w:tcW w:w="830" w:type="dxa"/>
            <w:tcBorders>
              <w:top w:val="nil"/>
              <w:left w:val="nil"/>
              <w:bottom w:val="nil"/>
              <w:right w:val="nil"/>
            </w:tcBorders>
            <w:tcMar>
              <w:top w:w="60" w:type="dxa"/>
              <w:left w:w="80" w:type="dxa"/>
              <w:bottom w:w="60" w:type="dxa"/>
              <w:right w:w="80" w:type="dxa"/>
            </w:tcMar>
            <w:vAlign w:val="center"/>
          </w:tcPr>
          <w:p w14:paraId="2536B87B" w14:textId="77777777" w:rsidR="007A2869" w:rsidRDefault="00000000">
            <w:pPr>
              <w:jc w:val="right"/>
            </w:pPr>
            <w:r>
              <w:rPr>
                <w:sz w:val="17"/>
                <w:szCs w:val="17"/>
              </w:rPr>
              <w:t>1.00</w:t>
            </w:r>
          </w:p>
        </w:tc>
        <w:tc>
          <w:tcPr>
            <w:tcW w:w="830" w:type="dxa"/>
            <w:tcBorders>
              <w:top w:val="nil"/>
              <w:left w:val="nil"/>
              <w:bottom w:val="nil"/>
              <w:right w:val="nil"/>
            </w:tcBorders>
            <w:tcMar>
              <w:top w:w="60" w:type="dxa"/>
              <w:left w:w="80" w:type="dxa"/>
              <w:bottom w:w="60" w:type="dxa"/>
              <w:right w:w="80" w:type="dxa"/>
            </w:tcMar>
            <w:vAlign w:val="center"/>
          </w:tcPr>
          <w:p w14:paraId="2536B87C" w14:textId="77777777" w:rsidR="007A2869" w:rsidRDefault="00000000">
            <w:pPr>
              <w:jc w:val="right"/>
            </w:pPr>
            <w:r>
              <w:rPr>
                <w:sz w:val="17"/>
                <w:szCs w:val="17"/>
              </w:rPr>
              <w:t>0.85</w:t>
            </w:r>
          </w:p>
        </w:tc>
        <w:tc>
          <w:tcPr>
            <w:tcW w:w="830" w:type="dxa"/>
            <w:tcBorders>
              <w:top w:val="nil"/>
              <w:left w:val="nil"/>
              <w:bottom w:val="nil"/>
              <w:right w:val="nil"/>
            </w:tcBorders>
            <w:tcMar>
              <w:top w:w="60" w:type="dxa"/>
              <w:left w:w="80" w:type="dxa"/>
              <w:bottom w:w="60" w:type="dxa"/>
              <w:right w:w="80" w:type="dxa"/>
            </w:tcMar>
            <w:vAlign w:val="center"/>
          </w:tcPr>
          <w:p w14:paraId="2536B87D" w14:textId="77777777" w:rsidR="007A2869" w:rsidRDefault="00000000">
            <w:pPr>
              <w:jc w:val="right"/>
            </w:pPr>
            <w:r>
              <w:rPr>
                <w:sz w:val="17"/>
                <w:szCs w:val="17"/>
              </w:rPr>
              <w:t>0.60</w:t>
            </w:r>
          </w:p>
        </w:tc>
      </w:tr>
      <w:tr w:rsidR="007A2869" w14:paraId="2536B88A" w14:textId="77777777">
        <w:tblPrEx>
          <w:tblCellMar>
            <w:top w:w="0" w:type="dxa"/>
            <w:bottom w:w="0" w:type="dxa"/>
          </w:tblCellMar>
        </w:tblPrEx>
        <w:tc>
          <w:tcPr>
            <w:tcW w:w="1060" w:type="dxa"/>
            <w:tcBorders>
              <w:top w:val="nil"/>
              <w:left w:val="nil"/>
              <w:bottom w:val="nil"/>
              <w:right w:val="nil"/>
            </w:tcBorders>
            <w:tcMar>
              <w:top w:w="60" w:type="dxa"/>
              <w:left w:w="80" w:type="dxa"/>
              <w:bottom w:w="60" w:type="dxa"/>
              <w:right w:w="80" w:type="dxa"/>
            </w:tcMar>
            <w:vAlign w:val="center"/>
          </w:tcPr>
          <w:p w14:paraId="2536B87F" w14:textId="77777777" w:rsidR="007A2869" w:rsidRDefault="00000000">
            <w:r>
              <w:rPr>
                <w:sz w:val="17"/>
                <w:szCs w:val="17"/>
              </w:rPr>
              <w:t>STOXX</w:t>
            </w:r>
          </w:p>
        </w:tc>
        <w:tc>
          <w:tcPr>
            <w:tcW w:w="830" w:type="dxa"/>
            <w:tcBorders>
              <w:top w:val="nil"/>
              <w:left w:val="nil"/>
              <w:bottom w:val="nil"/>
              <w:right w:val="nil"/>
            </w:tcBorders>
            <w:tcMar>
              <w:top w:w="60" w:type="dxa"/>
              <w:left w:w="80" w:type="dxa"/>
              <w:bottom w:w="60" w:type="dxa"/>
              <w:right w:w="80" w:type="dxa"/>
            </w:tcMar>
            <w:vAlign w:val="center"/>
          </w:tcPr>
          <w:p w14:paraId="2536B880" w14:textId="77777777" w:rsidR="007A2869" w:rsidRDefault="00000000">
            <w:pPr>
              <w:jc w:val="right"/>
            </w:pPr>
            <w:r>
              <w:rPr>
                <w:sz w:val="17"/>
                <w:szCs w:val="17"/>
              </w:rPr>
              <w:t>0.30</w:t>
            </w:r>
          </w:p>
        </w:tc>
        <w:tc>
          <w:tcPr>
            <w:tcW w:w="830" w:type="dxa"/>
            <w:tcBorders>
              <w:top w:val="nil"/>
              <w:left w:val="nil"/>
              <w:bottom w:val="nil"/>
              <w:right w:val="nil"/>
            </w:tcBorders>
            <w:tcMar>
              <w:top w:w="60" w:type="dxa"/>
              <w:left w:w="80" w:type="dxa"/>
              <w:bottom w:w="60" w:type="dxa"/>
              <w:right w:w="80" w:type="dxa"/>
            </w:tcMar>
            <w:vAlign w:val="center"/>
          </w:tcPr>
          <w:p w14:paraId="2536B881" w14:textId="77777777" w:rsidR="007A2869" w:rsidRDefault="00000000">
            <w:pPr>
              <w:jc w:val="right"/>
            </w:pPr>
            <w:r>
              <w:rPr>
                <w:sz w:val="17"/>
                <w:szCs w:val="17"/>
              </w:rPr>
              <w:t>0.24</w:t>
            </w:r>
          </w:p>
        </w:tc>
        <w:tc>
          <w:tcPr>
            <w:tcW w:w="830" w:type="dxa"/>
            <w:tcBorders>
              <w:top w:val="nil"/>
              <w:left w:val="nil"/>
              <w:bottom w:val="nil"/>
              <w:right w:val="nil"/>
            </w:tcBorders>
            <w:tcMar>
              <w:top w:w="60" w:type="dxa"/>
              <w:left w:w="80" w:type="dxa"/>
              <w:bottom w:w="60" w:type="dxa"/>
              <w:right w:w="80" w:type="dxa"/>
            </w:tcMar>
            <w:vAlign w:val="center"/>
          </w:tcPr>
          <w:p w14:paraId="2536B882" w14:textId="77777777" w:rsidR="007A2869" w:rsidRDefault="00000000">
            <w:pPr>
              <w:jc w:val="right"/>
            </w:pPr>
            <w:r>
              <w:rPr>
                <w:sz w:val="17"/>
                <w:szCs w:val="17"/>
              </w:rPr>
              <w:t>0.00</w:t>
            </w:r>
          </w:p>
        </w:tc>
        <w:tc>
          <w:tcPr>
            <w:tcW w:w="830" w:type="dxa"/>
            <w:tcBorders>
              <w:top w:val="nil"/>
              <w:left w:val="nil"/>
              <w:bottom w:val="nil"/>
              <w:right w:val="nil"/>
            </w:tcBorders>
            <w:tcMar>
              <w:top w:w="60" w:type="dxa"/>
              <w:left w:w="80" w:type="dxa"/>
              <w:bottom w:w="60" w:type="dxa"/>
              <w:right w:w="80" w:type="dxa"/>
            </w:tcMar>
            <w:vAlign w:val="center"/>
          </w:tcPr>
          <w:p w14:paraId="2536B883" w14:textId="77777777" w:rsidR="007A2869" w:rsidRDefault="00000000">
            <w:pPr>
              <w:jc w:val="right"/>
            </w:pPr>
            <w:r>
              <w:rPr>
                <w:sz w:val="17"/>
                <w:szCs w:val="17"/>
              </w:rPr>
              <w:t>0.96</w:t>
            </w:r>
          </w:p>
        </w:tc>
        <w:tc>
          <w:tcPr>
            <w:tcW w:w="830" w:type="dxa"/>
            <w:tcBorders>
              <w:top w:val="nil"/>
              <w:left w:val="nil"/>
              <w:bottom w:val="nil"/>
              <w:right w:val="nil"/>
            </w:tcBorders>
            <w:tcMar>
              <w:top w:w="60" w:type="dxa"/>
              <w:left w:w="80" w:type="dxa"/>
              <w:bottom w:w="60" w:type="dxa"/>
              <w:right w:w="80" w:type="dxa"/>
            </w:tcMar>
            <w:vAlign w:val="center"/>
          </w:tcPr>
          <w:p w14:paraId="2536B884" w14:textId="77777777" w:rsidR="007A2869" w:rsidRDefault="00000000">
            <w:pPr>
              <w:jc w:val="right"/>
            </w:pPr>
            <w:r>
              <w:rPr>
                <w:sz w:val="17"/>
                <w:szCs w:val="17"/>
              </w:rPr>
              <w:t>0.93</w:t>
            </w:r>
          </w:p>
        </w:tc>
        <w:tc>
          <w:tcPr>
            <w:tcW w:w="830" w:type="dxa"/>
            <w:tcBorders>
              <w:top w:val="nil"/>
              <w:left w:val="nil"/>
              <w:bottom w:val="nil"/>
              <w:right w:val="nil"/>
            </w:tcBorders>
            <w:tcMar>
              <w:top w:w="60" w:type="dxa"/>
              <w:left w:w="80" w:type="dxa"/>
              <w:bottom w:w="60" w:type="dxa"/>
              <w:right w:w="80" w:type="dxa"/>
            </w:tcMar>
            <w:vAlign w:val="center"/>
          </w:tcPr>
          <w:p w14:paraId="2536B885" w14:textId="77777777" w:rsidR="007A2869" w:rsidRDefault="00000000">
            <w:pPr>
              <w:jc w:val="right"/>
            </w:pPr>
            <w:r>
              <w:rPr>
                <w:sz w:val="17"/>
                <w:szCs w:val="17"/>
              </w:rPr>
              <w:t>0.96</w:t>
            </w:r>
          </w:p>
        </w:tc>
        <w:tc>
          <w:tcPr>
            <w:tcW w:w="830" w:type="dxa"/>
            <w:tcBorders>
              <w:top w:val="nil"/>
              <w:left w:val="nil"/>
              <w:bottom w:val="nil"/>
              <w:right w:val="nil"/>
            </w:tcBorders>
            <w:tcMar>
              <w:top w:w="60" w:type="dxa"/>
              <w:left w:w="80" w:type="dxa"/>
              <w:bottom w:w="60" w:type="dxa"/>
              <w:right w:w="80" w:type="dxa"/>
            </w:tcMar>
            <w:vAlign w:val="center"/>
          </w:tcPr>
          <w:p w14:paraId="2536B886" w14:textId="77777777" w:rsidR="007A2869" w:rsidRDefault="00000000">
            <w:pPr>
              <w:jc w:val="right"/>
            </w:pPr>
            <w:r>
              <w:rPr>
                <w:sz w:val="17"/>
                <w:szCs w:val="17"/>
              </w:rPr>
              <w:t>0.88</w:t>
            </w:r>
          </w:p>
        </w:tc>
        <w:tc>
          <w:tcPr>
            <w:tcW w:w="830" w:type="dxa"/>
            <w:tcBorders>
              <w:top w:val="nil"/>
              <w:left w:val="nil"/>
              <w:bottom w:val="nil"/>
              <w:right w:val="nil"/>
            </w:tcBorders>
            <w:tcMar>
              <w:top w:w="60" w:type="dxa"/>
              <w:left w:w="80" w:type="dxa"/>
              <w:bottom w:w="60" w:type="dxa"/>
              <w:right w:w="80" w:type="dxa"/>
            </w:tcMar>
            <w:vAlign w:val="center"/>
          </w:tcPr>
          <w:p w14:paraId="2536B887" w14:textId="77777777" w:rsidR="007A2869" w:rsidRDefault="00000000">
            <w:pPr>
              <w:jc w:val="right"/>
            </w:pPr>
            <w:r>
              <w:rPr>
                <w:sz w:val="17"/>
                <w:szCs w:val="17"/>
              </w:rPr>
              <w:t>0.85</w:t>
            </w:r>
          </w:p>
        </w:tc>
        <w:tc>
          <w:tcPr>
            <w:tcW w:w="830" w:type="dxa"/>
            <w:tcBorders>
              <w:top w:val="nil"/>
              <w:left w:val="nil"/>
              <w:bottom w:val="nil"/>
              <w:right w:val="nil"/>
            </w:tcBorders>
            <w:tcMar>
              <w:top w:w="60" w:type="dxa"/>
              <w:left w:w="80" w:type="dxa"/>
              <w:bottom w:w="60" w:type="dxa"/>
              <w:right w:w="80" w:type="dxa"/>
            </w:tcMar>
            <w:vAlign w:val="center"/>
          </w:tcPr>
          <w:p w14:paraId="2536B888" w14:textId="77777777" w:rsidR="007A2869" w:rsidRDefault="00000000">
            <w:pPr>
              <w:jc w:val="right"/>
            </w:pPr>
            <w:r>
              <w:rPr>
                <w:sz w:val="17"/>
                <w:szCs w:val="17"/>
              </w:rPr>
              <w:t>1.00</w:t>
            </w:r>
          </w:p>
        </w:tc>
        <w:tc>
          <w:tcPr>
            <w:tcW w:w="830" w:type="dxa"/>
            <w:tcBorders>
              <w:top w:val="nil"/>
              <w:left w:val="nil"/>
              <w:bottom w:val="nil"/>
              <w:right w:val="nil"/>
            </w:tcBorders>
            <w:tcMar>
              <w:top w:w="60" w:type="dxa"/>
              <w:left w:w="80" w:type="dxa"/>
              <w:bottom w:w="60" w:type="dxa"/>
              <w:right w:w="80" w:type="dxa"/>
            </w:tcMar>
            <w:vAlign w:val="center"/>
          </w:tcPr>
          <w:p w14:paraId="2536B889" w14:textId="77777777" w:rsidR="007A2869" w:rsidRDefault="00000000">
            <w:pPr>
              <w:jc w:val="right"/>
            </w:pPr>
            <w:r>
              <w:rPr>
                <w:sz w:val="17"/>
                <w:szCs w:val="17"/>
              </w:rPr>
              <w:t>0.71</w:t>
            </w:r>
          </w:p>
        </w:tc>
      </w:tr>
      <w:tr w:rsidR="007A2869" w14:paraId="2536B896" w14:textId="77777777">
        <w:tblPrEx>
          <w:tblCellMar>
            <w:top w:w="0" w:type="dxa"/>
            <w:bottom w:w="0" w:type="dxa"/>
          </w:tblCellMar>
        </w:tblPrEx>
        <w:tc>
          <w:tcPr>
            <w:tcW w:w="10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8B" w14:textId="77777777" w:rsidR="007A2869" w:rsidRDefault="00000000">
            <w:r>
              <w:rPr>
                <w:sz w:val="17"/>
                <w:szCs w:val="17"/>
              </w:rPr>
              <w:t>EPRA</w:t>
            </w:r>
          </w:p>
        </w:tc>
        <w:tc>
          <w:tcPr>
            <w:tcW w:w="8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8C" w14:textId="77777777" w:rsidR="007A2869" w:rsidRDefault="00000000">
            <w:pPr>
              <w:jc w:val="right"/>
            </w:pPr>
            <w:r>
              <w:rPr>
                <w:sz w:val="17"/>
                <w:szCs w:val="17"/>
              </w:rPr>
              <w:t>0.26</w:t>
            </w:r>
          </w:p>
        </w:tc>
        <w:tc>
          <w:tcPr>
            <w:tcW w:w="8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8D" w14:textId="77777777" w:rsidR="007A2869" w:rsidRDefault="00000000">
            <w:pPr>
              <w:jc w:val="right"/>
            </w:pPr>
            <w:r>
              <w:rPr>
                <w:sz w:val="17"/>
                <w:szCs w:val="17"/>
              </w:rPr>
              <w:t>0.17</w:t>
            </w:r>
          </w:p>
        </w:tc>
        <w:tc>
          <w:tcPr>
            <w:tcW w:w="8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8E" w14:textId="77777777" w:rsidR="007A2869" w:rsidRDefault="00000000">
            <w:pPr>
              <w:jc w:val="right"/>
            </w:pPr>
            <w:r>
              <w:rPr>
                <w:sz w:val="17"/>
                <w:szCs w:val="17"/>
              </w:rPr>
              <w:t>0.08</w:t>
            </w:r>
          </w:p>
        </w:tc>
        <w:tc>
          <w:tcPr>
            <w:tcW w:w="8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8F" w14:textId="77777777" w:rsidR="007A2869" w:rsidRDefault="00000000">
            <w:pPr>
              <w:jc w:val="right"/>
            </w:pPr>
            <w:r>
              <w:rPr>
                <w:sz w:val="17"/>
                <w:szCs w:val="17"/>
              </w:rPr>
              <w:t>0.65</w:t>
            </w:r>
          </w:p>
        </w:tc>
        <w:tc>
          <w:tcPr>
            <w:tcW w:w="8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90" w14:textId="77777777" w:rsidR="007A2869" w:rsidRDefault="00000000">
            <w:pPr>
              <w:jc w:val="right"/>
            </w:pPr>
            <w:r>
              <w:rPr>
                <w:sz w:val="17"/>
                <w:szCs w:val="17"/>
              </w:rPr>
              <w:t>0.62</w:t>
            </w:r>
          </w:p>
        </w:tc>
        <w:tc>
          <w:tcPr>
            <w:tcW w:w="8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91" w14:textId="77777777" w:rsidR="007A2869" w:rsidRDefault="00000000">
            <w:pPr>
              <w:jc w:val="right"/>
            </w:pPr>
            <w:r>
              <w:rPr>
                <w:sz w:val="17"/>
                <w:szCs w:val="17"/>
              </w:rPr>
              <w:t>0.64</w:t>
            </w:r>
          </w:p>
        </w:tc>
        <w:tc>
          <w:tcPr>
            <w:tcW w:w="8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92" w14:textId="77777777" w:rsidR="007A2869" w:rsidRDefault="00000000">
            <w:pPr>
              <w:jc w:val="right"/>
            </w:pPr>
            <w:r>
              <w:rPr>
                <w:sz w:val="17"/>
                <w:szCs w:val="17"/>
              </w:rPr>
              <w:t>0.63</w:t>
            </w:r>
          </w:p>
        </w:tc>
        <w:tc>
          <w:tcPr>
            <w:tcW w:w="8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93" w14:textId="77777777" w:rsidR="007A2869" w:rsidRDefault="00000000">
            <w:pPr>
              <w:jc w:val="right"/>
            </w:pPr>
            <w:r>
              <w:rPr>
                <w:sz w:val="17"/>
                <w:szCs w:val="17"/>
              </w:rPr>
              <w:t>0.60</w:t>
            </w:r>
          </w:p>
        </w:tc>
        <w:tc>
          <w:tcPr>
            <w:tcW w:w="8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94" w14:textId="77777777" w:rsidR="007A2869" w:rsidRDefault="00000000">
            <w:pPr>
              <w:jc w:val="right"/>
            </w:pPr>
            <w:r>
              <w:rPr>
                <w:sz w:val="17"/>
                <w:szCs w:val="17"/>
              </w:rPr>
              <w:t>0.71</w:t>
            </w:r>
          </w:p>
        </w:tc>
        <w:tc>
          <w:tcPr>
            <w:tcW w:w="8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2536B895" w14:textId="77777777" w:rsidR="007A2869" w:rsidRDefault="00000000">
            <w:pPr>
              <w:jc w:val="right"/>
            </w:pPr>
            <w:r>
              <w:rPr>
                <w:sz w:val="17"/>
                <w:szCs w:val="17"/>
              </w:rPr>
              <w:t>1.00</w:t>
            </w:r>
          </w:p>
        </w:tc>
      </w:tr>
    </w:tbl>
    <w:p w14:paraId="2536B897" w14:textId="77777777" w:rsidR="007A2869" w:rsidRDefault="007A2869">
      <w:pPr>
        <w:spacing w:line="480" w:lineRule="auto"/>
      </w:pPr>
    </w:p>
    <w:sectPr w:rsidR="007A2869">
      <w:headerReference w:type="default" r:id="rId12"/>
      <w:pgSz w:w="12240" w:h="15840"/>
      <w:pgMar w:top="2160" w:right="1440" w:bottom="21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091FD" w14:textId="77777777" w:rsidR="00DA7807" w:rsidRDefault="00DA7807">
      <w:r>
        <w:separator/>
      </w:r>
    </w:p>
  </w:endnote>
  <w:endnote w:type="continuationSeparator" w:id="0">
    <w:p w14:paraId="177AD573" w14:textId="77777777" w:rsidR="00DA7807" w:rsidRDefault="00DA7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B739B" w14:textId="77777777" w:rsidR="00DA7807" w:rsidRDefault="00DA7807">
      <w:r>
        <w:separator/>
      </w:r>
    </w:p>
  </w:footnote>
  <w:footnote w:type="continuationSeparator" w:id="0">
    <w:p w14:paraId="05AB9C7F" w14:textId="77777777" w:rsidR="00DA7807" w:rsidRDefault="00DA7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B8A2" w14:textId="7AB58451" w:rsidR="007A2869" w:rsidRDefault="00000000">
    <w:pPr>
      <w:tabs>
        <w:tab w:val="right" w:pos="9360"/>
      </w:tabs>
    </w:pPr>
    <w:r>
      <w:rPr>
        <w:i/>
        <w:iCs/>
        <w:sz w:val="20"/>
        <w:szCs w:val="20"/>
      </w:rPr>
      <w:t>When Regimes Do Not Pay</w:t>
    </w:r>
    <w:r>
      <w:rPr>
        <w:sz w:val="20"/>
        <w:szCs w:val="20"/>
      </w:rPr>
      <w:tab/>
    </w:r>
    <w:r>
      <w:rPr>
        <w:sz w:val="20"/>
        <w:szCs w:val="20"/>
      </w:rPr>
      <w:fldChar w:fldCharType="begin"/>
    </w:r>
    <w:r>
      <w:rPr>
        <w:sz w:val="20"/>
        <w:szCs w:val="20"/>
      </w:rPr>
      <w:instrText>PAGE</w:instrText>
    </w:r>
    <w:r>
      <w:rPr>
        <w:sz w:val="20"/>
        <w:szCs w:val="20"/>
      </w:rPr>
      <w:fldChar w:fldCharType="separate"/>
    </w:r>
    <w:r w:rsidR="00E80308">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450D3"/>
    <w:multiLevelType w:val="hybridMultilevel"/>
    <w:tmpl w:val="2C0C138C"/>
    <w:lvl w:ilvl="0" w:tplc="33222540">
      <w:start w:val="1"/>
      <w:numFmt w:val="bullet"/>
      <w:lvlText w:val="●"/>
      <w:lvlJc w:val="left"/>
      <w:pPr>
        <w:ind w:left="720" w:hanging="360"/>
      </w:pPr>
    </w:lvl>
    <w:lvl w:ilvl="1" w:tplc="85C67B24">
      <w:start w:val="1"/>
      <w:numFmt w:val="bullet"/>
      <w:lvlText w:val="○"/>
      <w:lvlJc w:val="left"/>
      <w:pPr>
        <w:ind w:left="1440" w:hanging="360"/>
      </w:pPr>
    </w:lvl>
    <w:lvl w:ilvl="2" w:tplc="88D02ADE">
      <w:start w:val="1"/>
      <w:numFmt w:val="bullet"/>
      <w:lvlText w:val="■"/>
      <w:lvlJc w:val="left"/>
      <w:pPr>
        <w:ind w:left="2160" w:hanging="360"/>
      </w:pPr>
    </w:lvl>
    <w:lvl w:ilvl="3" w:tplc="F608262C">
      <w:start w:val="1"/>
      <w:numFmt w:val="bullet"/>
      <w:lvlText w:val="●"/>
      <w:lvlJc w:val="left"/>
      <w:pPr>
        <w:ind w:left="2880" w:hanging="360"/>
      </w:pPr>
    </w:lvl>
    <w:lvl w:ilvl="4" w:tplc="DD3E2D3C">
      <w:start w:val="1"/>
      <w:numFmt w:val="bullet"/>
      <w:lvlText w:val="○"/>
      <w:lvlJc w:val="left"/>
      <w:pPr>
        <w:ind w:left="3600" w:hanging="360"/>
      </w:pPr>
    </w:lvl>
    <w:lvl w:ilvl="5" w:tplc="B8B6928C">
      <w:start w:val="1"/>
      <w:numFmt w:val="bullet"/>
      <w:lvlText w:val="■"/>
      <w:lvlJc w:val="left"/>
      <w:pPr>
        <w:ind w:left="4320" w:hanging="360"/>
      </w:pPr>
    </w:lvl>
    <w:lvl w:ilvl="6" w:tplc="A0E889EA">
      <w:start w:val="1"/>
      <w:numFmt w:val="bullet"/>
      <w:lvlText w:val="●"/>
      <w:lvlJc w:val="left"/>
      <w:pPr>
        <w:ind w:left="5040" w:hanging="360"/>
      </w:pPr>
    </w:lvl>
    <w:lvl w:ilvl="7" w:tplc="4CA00408">
      <w:start w:val="1"/>
      <w:numFmt w:val="bullet"/>
      <w:lvlText w:val="●"/>
      <w:lvlJc w:val="left"/>
      <w:pPr>
        <w:ind w:left="5760" w:hanging="360"/>
      </w:pPr>
    </w:lvl>
    <w:lvl w:ilvl="8" w:tplc="E3C47020">
      <w:start w:val="1"/>
      <w:numFmt w:val="bullet"/>
      <w:lvlText w:val="●"/>
      <w:lvlJc w:val="left"/>
      <w:pPr>
        <w:ind w:left="6480" w:hanging="360"/>
      </w:pPr>
    </w:lvl>
  </w:abstractNum>
  <w:num w:numId="1" w16cid:durableId="1525052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869"/>
    <w:rsid w:val="004C02D7"/>
    <w:rsid w:val="00611140"/>
    <w:rsid w:val="007A2869"/>
    <w:rsid w:val="008472DB"/>
    <w:rsid w:val="00DA7807"/>
    <w:rsid w:val="00DC0ADB"/>
    <w:rsid w:val="00E3536B"/>
    <w:rsid w:val="00E80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6B473"/>
  <w15:docId w15:val="{15C8808A-19E8-4B44-9F8E-FDAC3C8C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72DB"/>
    <w:pPr>
      <w:tabs>
        <w:tab w:val="center" w:pos="4680"/>
        <w:tab w:val="right" w:pos="9360"/>
      </w:tabs>
    </w:pPr>
  </w:style>
  <w:style w:type="character" w:customStyle="1" w:styleId="HeaderChar">
    <w:name w:val="Header Char"/>
    <w:basedOn w:val="DefaultParagraphFont"/>
    <w:link w:val="Header"/>
    <w:uiPriority w:val="99"/>
    <w:rsid w:val="008472DB"/>
  </w:style>
  <w:style w:type="paragraph" w:styleId="Footer">
    <w:name w:val="footer"/>
    <w:basedOn w:val="Normal"/>
    <w:link w:val="FooterChar"/>
    <w:uiPriority w:val="99"/>
    <w:unhideWhenUsed/>
    <w:rsid w:val="008472DB"/>
    <w:pPr>
      <w:tabs>
        <w:tab w:val="center" w:pos="4680"/>
        <w:tab w:val="right" w:pos="9360"/>
      </w:tabs>
    </w:pPr>
  </w:style>
  <w:style w:type="character" w:customStyle="1" w:styleId="FooterChar">
    <w:name w:val="Footer Char"/>
    <w:basedOn w:val="DefaultParagraphFont"/>
    <w:link w:val="Footer"/>
    <w:uiPriority w:val="99"/>
    <w:rsid w:val="00847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818c103-b4ff-4ab6-8c05-dc2fb6993bc0}" enabled="0" method="" siteId="{5818c103-b4ff-4ab6-8c05-dc2fb6993bc0}"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46</Pages>
  <Words>9108</Words>
  <Characters>51920</Characters>
  <Application>Microsoft Office Word</Application>
  <DocSecurity>0</DocSecurity>
  <Lines>432</Lines>
  <Paragraphs>121</Paragraphs>
  <ScaleCrop>false</ScaleCrop>
  <Company/>
  <LinksUpToDate>false</LinksUpToDate>
  <CharactersWithSpaces>60907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Grube Martín-Lunas</cp:lastModifiedBy>
  <cp:revision>6</cp:revision>
  <dcterms:created xsi:type="dcterms:W3CDTF">2026-05-13T07:31:00Z</dcterms:created>
  <dcterms:modified xsi:type="dcterms:W3CDTF">2026-05-13T08:00:00Z</dcterms:modified>
</cp:coreProperties>
</file>