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Materials</w:t>
      </w:r>
    </w:p>
    <w:p>
      <w:pPr>
        <w:jc w:val="center"/>
      </w:pPr>
      <w:r>
        <w:rPr>
          <w:rFonts w:ascii="Times New Roman" w:hAnsi="Times New Roman"/>
          <w:b/>
          <w:sz w:val="24"/>
        </w:rPr>
        <w:t>Layer-Wise and Class-Specific Analysis of VGG-16 Representational Sensitivity to Controlled Image Transformations</w:t>
      </w:r>
    </w:p>
    <w:p>
      <w:pPr>
        <w:jc w:val="both"/>
      </w:pPr>
      <w:r>
        <w:t>The primary analysis used all 2,527 TrashNet images with transformed images stored in PNG. Figures S1–S4 and Tables S1–S3 document the historical balanced 822-image analyses, the detailed intensity and block comparisons, and the matched JPG–PNG storage-format analysis. Figures S5–S8 and Tables S4–S10 provide the additional block-specific baseline, brightness-clipping, object-extent, peripheral-gradient, cross-class, and interaction analyses requested during editorial pre-review.</w:t>
      </w:r>
    </w:p>
    <w:p>
      <w:pPr>
        <w:pStyle w:val="Heading1"/>
      </w:pPr>
      <w:r>
        <w:t>Supplementary Figures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4074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hAnsi="Times New Roman"/>
          <w:sz w:val="18"/>
        </w:rPr>
        <w:t>Figure S1. Layer-wise cosine similarity in the balanced 822-image JPG dataset. Panels show (a) brightness, (b) contrast, (c) rotation, and (d) center-crop zoom at low, medium, and high intensity.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4075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hAnsi="Times New Roman"/>
          <w:sz w:val="18"/>
        </w:rPr>
        <w:t>Figure S2. Layer-wise relative Euclidean distance in the balanced 822-image JPG dataset. Panels show (a) brightness, (b) contrast, (c) rotation, and (d) center-crop zoom at low, medium, and high intensity.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4061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hAnsi="Times New Roman"/>
          <w:sz w:val="18"/>
        </w:rPr>
        <w:t>Figure S3. Class-specific cosine similarity at Block5 in the balanced 822-image JPG dataset. Panels show all six TrashNet classes under (a) brightness, (b) contrast, (c) rotation, and (d) center-crop zoom.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45093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hAnsi="Times New Roman"/>
          <w:sz w:val="18"/>
        </w:rPr>
        <w:t>Figure S4. Mean paired difference in cosine similarity between PNG and JPG storage for the same 822 transformed images. Positive values indicate slightly higher cosine similarity for PNG; negative values indicate slightly higher cosine similarity for JPG.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1803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R1_baseline_cosine_by_block_revis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hAnsi="Times New Roman"/>
          <w:sz w:val="18"/>
        </w:rPr>
        <w:t>Figure S5. Block-specific cosine-similarity distributions between distinct original images. Random, same-class, and different-class pairs were sampled without replacement using the same fixed pair indices across the five VGG-16 blocks.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294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R3_brightness_clipping_revis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hAnsi="Times New Roman"/>
          <w:sz w:val="18"/>
        </w:rPr>
        <w:t>Figure S6. Brightness-induced pixel saturation in the complete TrashNet dataset. The plot distinguishes pixels already saturated in the source images from pixels newly clipped after application of each brightness factor.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53091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R5_foreground_mask_Q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30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hAnsi="Times New Roman"/>
          <w:sz w:val="18"/>
        </w:rPr>
        <w:t>Figure S7. Visual quality-control examples for the automatic object-extent proxy. The masks were obtained by background-referenced RGB-distance thresholding followed by morphological cleaning and small-component removal; bounding-box area fraction was used as the primary extent covariate.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653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R5_partial_correlations_all_clas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hAnsi="Times New Roman"/>
          <w:sz w:val="18"/>
        </w:rPr>
        <w:t>Figure S8. Object-extent-adjusted Spearman correlations between peripheral-gradient removal and Block5 sensitivity for all six TrashNet classes, two representational metrics, and three center-crop zoom levels. Confidence intervals and multiplicity-adjusted results are reported in Table S8.</w:t>
      </w:r>
    </w:p>
    <w:p>
      <w:pPr>
        <w:sectPr>
          <w:pgSz w:w="16834" w:h="11909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Supplementary Tables</w:t>
      </w:r>
    </w:p>
    <w:p>
      <w:pPr>
        <w:spacing w:before="160" w:after="80"/>
      </w:pPr>
      <w:r>
        <w:rPr>
          <w:rFonts w:ascii="Times New Roman" w:hAnsi="Times New Roman"/>
          <w:b/>
          <w:sz w:val="18"/>
        </w:rPr>
        <w:t>Table S1. Complete block-specific intensity statistics, paired effect sizes, and image-level ordering in the complete 2,527-image PNG dataset.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rPr>
          <w:tblHeader w:val="true"/>
        </w:trPr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Transformation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Metric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Block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n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Low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Medium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High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Δ L–M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Δ M–H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Expected order (%)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M–H inversions (%)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Kendall W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Friedman Holm p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L–M Holm p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M–H Holm p</w:t>
            </w:r>
          </w:p>
        </w:tc>
        <w:tc>
          <w:tcPr>
            <w:tcW w:type="dxa" w:w="64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L–H Holm p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99.723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99.960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99.604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99.921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99.683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0.684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99.763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0.616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99.960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0.707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99.802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0.549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99.921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0.354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0.476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99.565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99.960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99.842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97.824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2.176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91.057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8.943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0.919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96.161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3.641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87.693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12.109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0.891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99.960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0.459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0.530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98.021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1.979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93.866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6.134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0.724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96.359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3.443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0.731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82.430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17.452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0.854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5.79e-274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8.32e-04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99.921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99.842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99.881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99.960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0.112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0.139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0.386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100.000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  <w:tr>
        <w:trPr>
          <w:cantSplit/>
        </w:trPr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0.496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0.124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99.763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  <w:tc>
          <w:tcPr>
            <w:tcW w:type="dxa" w:w="64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Angular sensitivity was defined as 1 − cosine similarity. Positive paired differences indicate greater alteration at the higher intensity. Exact unrounded values are retained in the accompanying derived-data file.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/>
          <w:b/>
          <w:sz w:val="18"/>
        </w:rPr>
        <w:t>Table S2. Pairwise block comparisons in the complete 2,527-image PNG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>
        <w:trPr>
          <w:tblHeader w:val="true"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Metric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Transformation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Intensity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Block A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Block B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Median A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Median B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Median difference B-A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Rank-biserial r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Holm-adjusted p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-0.424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0.867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0.867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0.867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0.867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0.660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0.842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0.044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0.447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0.766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0.628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0.351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0.664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-0.680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-0.936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0.733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-0.342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-0.926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0.860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0.464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-0.246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-0.929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-0.868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-0.147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-0.251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-0.134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-0.885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-0.062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-0.880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-0.065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-0.893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-0.065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-0.892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-0.120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-0.148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-0.077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-0.160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-0.488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-0.055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-0.367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-0.781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0.934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0.934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0.934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-0.085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0.934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-0.653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-0.437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cosine_similarity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-0.434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-0.426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-0.257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-0.967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-0.980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-0.068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-0.363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-0.222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-0.862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-0.060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-0.581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-0.168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-0.981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-0.859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-0.151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-0.960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-0.550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-0.356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-0.050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-0.704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-0.969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0.354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-0.091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-0.569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0.354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-0.253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0.354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0.354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-0.547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-0.788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-0.055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-0.752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-0.069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-0.429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-0.622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-0.655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-0.768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-0.716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-0.080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-0.529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-0.650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-0.068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-0.770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-0.075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-0.878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-0.553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-0.693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-0.857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-0.548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0.458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0.267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0.847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0.459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0.420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0.447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0.458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0.459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0.459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0.459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0.362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0.552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0.386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0.386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0.386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0.386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0.733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relative_euclidean_distance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Wilcoxon signed-rank tests compare VGG-16 blocks within each transformation, intensity, and metric. P values were adjusted with the Holm procedure within each comparison family.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/>
          <w:b/>
          <w:sz w:val="18"/>
        </w:rPr>
        <w:t>Table S3. Matched comparison of JPG and PNG storage in the balanced 822-image subset.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blHeader w:val="true"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Metric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Transformation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Intensity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Block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JPG mean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PNG mean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Mean difference PNG-JPG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Mean absolute difference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Rank-biserial r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Holm-adjusted p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2F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Significant after Holm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0.851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0.867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0.484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0.746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-0.231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-0.360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0.320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0.599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-0.319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0.458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-0.179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0.675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-0.930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0.898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0.896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-0.942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-0.968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0.763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0.760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-0.714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-0.677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-0.920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0.939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-0.891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0.865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0.867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-0.957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0.844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-0.975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-0.635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-0.418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0.372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0.930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-0.127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-0.423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0.891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0.633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-0.373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0.598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0.718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cosine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0.892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0.729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0.742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0.554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0.561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0.643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-0.171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0.420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0.354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0.890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-0.676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0.674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0.677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0.866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0.623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0.540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0.549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0.424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0.430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0.373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0.368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-0.356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0.354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0.435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0.325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-0.623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0.433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-0.290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-0.753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-0.065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0.435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0.323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0.324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0.517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0.525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0.933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0.788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0.837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0.491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0.530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0.531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0.435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0.444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0.763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0.739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-0.080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0.459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-0.672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-0.866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-0.935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-0.565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-0.441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-0.193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-0.421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relative_euclidean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0.442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2.921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2.938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0.882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5.087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5.195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7.922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8.086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0.854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4.144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4.199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0.643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2.459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2.442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1.495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1.507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2.306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2.357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2.734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2.748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1.643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1.653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1.027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-0.680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2.396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2.412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4.012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4.098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5.914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6.036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0.751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3.188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3.233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0.572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brightness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1.876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1.850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-0.356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1.539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1.556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0.445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2.464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2.535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0.519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3.548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3.634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0.482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2.248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2.255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1.712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1.660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-0.052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0.596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0.476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1.488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1.465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-0.080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-0.715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0.778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-0.084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1.110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1.126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0.543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1.756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1.819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0.699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2.593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2.646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0.435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1.664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1.654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contrast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1.273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1.228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1.167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1.172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0.936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3.522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3.575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0.941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8.851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9.162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0.311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6.158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6.344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4.158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4.205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0.551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0.554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0.787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1.722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1.757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4.590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4.741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3.726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3.785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0.858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2.628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2.630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0.969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0.939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3.027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3.090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7.795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8.122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0.327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0.328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5.350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5.514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rotation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3.749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3.803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0.734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0.727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0.730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1.692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1.689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-0.087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3.599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3.605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0.060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0.547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3.203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3.198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-0.079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2.607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2.620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0.460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0.486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0.463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-0.635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1.150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1.046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0.120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-0.849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1.245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1.159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-0.085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-0.932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1.192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1.161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-0.032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-0.554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0.406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0.407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0.987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0.974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-0.396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2.175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2.155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0.091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-0.193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2.079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2.054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-0.409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&lt;0.001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Yes</w:t>
            </w:r>
          </w:p>
        </w:tc>
      </w:tr>
      <w:tr>
        <w:trPr>
          <w:cantSplit/>
        </w:trPr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euclidean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zoom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Block5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822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1.809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1.809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0.047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-0.015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1.000</w:t>
            </w:r>
          </w:p>
        </w:tc>
        <w:tc>
          <w:tcPr>
            <w:tcW w:type="dxa" w:w="86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No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Each row summarizes the same source images, transformation, intensity, and VGG-16 block. Positive differences indicate larger values for PNG. Holm adjustment was applied across the 60 cells within each metric.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/>
          <w:b/>
          <w:sz w:val="18"/>
        </w:rPr>
        <w:t>Table S4. Complete block-specific cosine-similarity baselines between distinct original images.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rPr>
          <w:tblHeader w:val="true"/>
        </w:trPr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Block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Pair type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Eligible pairs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Sampled pairs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Mean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SD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Median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2.5%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Q1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Q3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97.5%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Min</w:t>
            </w:r>
          </w:p>
        </w:tc>
        <w:tc>
          <w:tcPr>
            <w:tcW w:type="dxa" w:w="794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Max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random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3191601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0.822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0.845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0.539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0.752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0.914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0.977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0.235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0.999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same class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591456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0.851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0.877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0.573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0.786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0.941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0.257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0.999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different class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2600145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0.816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0.838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0.533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0.747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0.907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0.972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0.239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0.996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random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3191601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0.855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0.870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0.671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0.815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0.909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0.959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0.347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0.997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same class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591456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0.872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0.887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0.692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0.837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0.924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0.971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0.398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1.000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different class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2600145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0.851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0.866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0.666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0.812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0.906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0.955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0.372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0.992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random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3191601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0.779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0.791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0.582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0.729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0.842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0.912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0.347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0.996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same class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591456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0.797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0.088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0.810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0.588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0.747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0.860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0.931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0.290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0.999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different class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2600145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0.776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0.787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0.580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0.726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0.839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0.906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0.307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0.973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random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3191601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0.631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0.643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0.387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0.558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0.715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0.818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0.124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0.996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same class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591456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0.675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0.688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0.426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0.609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0.753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0.855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0.165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0.995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different class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2600145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0.621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0.633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0.379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0.549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0.705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0.804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0.931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random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3191601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0.414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0.408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0.327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0.494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0.661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0.987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same class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591456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0.485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0.127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0.483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0.243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0.396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0.571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0.737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0.992</w:t>
            </w:r>
          </w:p>
        </w:tc>
      </w:tr>
      <w:tr>
        <w:trPr>
          <w:cantSplit/>
        </w:trPr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different class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2600145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100000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0.398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0.111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0.394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0.199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0.317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0.474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0.625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0.033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0.828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For each block, 100,000 random, same-class, and different-class unordered pairs were sampled without replacement using random seed 2026. The same pair indices were used across blocks.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/>
          <w:b/>
          <w:sz w:val="18"/>
        </w:rPr>
        <w:t>Table S5. Complete baseline-adjusted angular sensitivity and centered linear CKA results.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</w:tblGrid>
      <w:tr>
        <w:trPr>
          <w:tblHeader w:val="true"/>
        </w:trPr>
        <w:tc>
          <w:tcPr>
            <w:tcW w:type="dxa" w:w="1032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Transformation</w:t>
            </w:r>
          </w:p>
        </w:tc>
        <w:tc>
          <w:tcPr>
            <w:tcW w:type="dxa" w:w="1032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Level</w:t>
            </w:r>
          </w:p>
        </w:tc>
        <w:tc>
          <w:tcPr>
            <w:tcW w:type="dxa" w:w="1032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Block</w:t>
            </w:r>
          </w:p>
        </w:tc>
        <w:tc>
          <w:tcPr>
            <w:tcW w:type="dxa" w:w="1032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n</w:t>
            </w:r>
          </w:p>
        </w:tc>
        <w:tc>
          <w:tcPr>
            <w:tcW w:type="dxa" w:w="1032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Adjusted mean</w:t>
            </w:r>
          </w:p>
        </w:tc>
        <w:tc>
          <w:tcPr>
            <w:tcW w:type="dxa" w:w="1032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Adjusted SD</w:t>
            </w:r>
          </w:p>
        </w:tc>
        <w:tc>
          <w:tcPr>
            <w:tcW w:type="dxa" w:w="1032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Adjusted median</w:t>
            </w:r>
          </w:p>
        </w:tc>
        <w:tc>
          <w:tcPr>
            <w:tcW w:type="dxa" w:w="1032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2.5%</w:t>
            </w:r>
          </w:p>
        </w:tc>
        <w:tc>
          <w:tcPr>
            <w:tcW w:type="dxa" w:w="1032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97.5%</w:t>
            </w:r>
          </w:p>
        </w:tc>
        <w:tc>
          <w:tcPr>
            <w:tcW w:type="dxa" w:w="1032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Linear CKA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0.332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0.316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0.779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0.938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0.333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0.229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0.290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0.877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0.971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0.135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0.173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0.598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0.973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0.251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0.991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0.985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0.769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0.422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0.754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1.615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0.804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0.892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0.511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0.855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0.120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1.974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0.930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0.588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0.487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0.453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1.862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0.884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0.258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0.198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0.210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0.797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0.966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0.129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0.390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0.945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1.061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0.561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1.041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0.154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2.202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0.727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1.346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0.734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1.309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0.211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2.944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0.903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0.704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0.846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2.568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0.836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0.430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0.287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0.372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0.067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1.115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0.942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brightness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0.230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0.151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0.192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0.644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0.894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0.993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0.997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0.999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0.998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0.994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0.248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0.976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0.062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0.287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0.991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0.155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0.994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0.995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0.981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0.191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0.422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0.954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0.191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0.164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0.474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0.985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0.329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0.987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0.066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0.169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0.990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contrast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0.067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0.966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0.139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0.997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0.199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0.063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0.374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0.989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0.291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0.148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0.270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0.619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0.982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0.273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0.257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0.545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0.972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0.219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0.430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0.936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0.232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0.229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0.394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0.987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0.626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0.251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0.610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0.234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1.119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0.962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0.785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0.343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0.750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0.219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1.538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0.930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0.532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0.184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0.519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0.212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0.924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0.921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0.418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0.134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0.408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0.188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0.715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0.858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0.332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0.120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0.135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0.553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0.981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0.813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0.323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0.786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0.326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1.518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0.948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0.374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0.963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0.340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1.756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0.924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0.675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0.211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0.677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0.289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1.105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0.907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rotation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0.516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0.157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0.513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0.234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0.830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0.827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9.17e-04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0.990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0.989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0.989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0.989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0.977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0.136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0.950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0.133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0.945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0.140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0.948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0.170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0.953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0.192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0.936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0.399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0.855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Block2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0.160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0.139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0.385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0.842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Block3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0.158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0.140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0.065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0.370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0.853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0.198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0.079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0.184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0.401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0.875</w:t>
            </w:r>
          </w:p>
        </w:tc>
      </w:tr>
      <w:tr>
        <w:trPr>
          <w:cantSplit/>
        </w:trPr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zoom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Block5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0.206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0.071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0.195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0.107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0.378</w:t>
            </w:r>
          </w:p>
        </w:tc>
        <w:tc>
          <w:tcPr>
            <w:tcW w:type="dxa" w:w="103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0.857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Baseline-adjusted angular sensitivity expresses the original–transformed angular change relative to the median random-pair separation within the same block. CKA evaluates preservation of the joint representational organization of all 2,527 images.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/>
          <w:b/>
          <w:sz w:val="18"/>
        </w:rPr>
        <w:t>Table S6. Brightness-induced pixel clipping in the complete TrashNet dataset.</w:t>
      </w:r>
    </w:p>
    <w:p>
      <w:pPr>
        <w:spacing w:after="120"/>
      </w:pPr>
      <w:r>
        <w:rPr>
          <w:rFonts w:ascii="Times New Roman" w:hAnsi="Times New Roman"/>
          <w:i/>
          <w:sz w:val="16"/>
        </w:rPr>
        <w:t>Panel A. Overall clipping summary.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47"/>
        <w:gridCol w:w="1147"/>
        <w:gridCol w:w="1147"/>
        <w:gridCol w:w="1147"/>
        <w:gridCol w:w="1147"/>
        <w:gridCol w:w="1147"/>
        <w:gridCol w:w="1147"/>
        <w:gridCol w:w="1147"/>
        <w:gridCol w:w="1147"/>
      </w:tblGrid>
      <w:tr>
        <w:trPr>
          <w:tblHeader w:val="true"/>
        </w:trPr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Level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Factor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n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Pre-existing saturated (%)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Saturated after (%)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Newly clipped (%)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Per-image Q1 (%)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Per-image median (%)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Per-image Q3 (%)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1.200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0.586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29.811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29.225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16.646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29.664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40.151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1.400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0.586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53.668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53.082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43.325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54.494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65.004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1.600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0.586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69.444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68.858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60.735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71.135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80.694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Panel B. Class-specific clipping summary.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1"/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blHeader w:val="true"/>
        </w:trPr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Level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Factor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Class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n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Newly clipped global (%)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Per-image Q1 (%)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Per-image median (%)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Per-image Q3 (%)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1.200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403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24.658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14.540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24.161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32.442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1.200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36.738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27.797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38.377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47.292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1.200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410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31.698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15.022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33.408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44.783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1.200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26.545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15.493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26.198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36.161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1.200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482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25.387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14.846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26.285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35.182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1.200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137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32.907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15.223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35.269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48.654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1.400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403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47.701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37.018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48.539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59.140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1.400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59.458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53.510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61.943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70.834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1.400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410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51.745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38.152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54.858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66.824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1.400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53.151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44.364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52.179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63.536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1.400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482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51.572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42.292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52.646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61.354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1.400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137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54.608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48.038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57.865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68.035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1.600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403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63.913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54.184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66.784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77.188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1.600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72.965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67.389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75.053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81.446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1.600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410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63.280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51.757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65.351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78.089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1.600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68.926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59.896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69.449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80.552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1.600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482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73.144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66.766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75.501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82.993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1.600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137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69.699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63.947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71.304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80.565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Times New Roman" w:hAnsi="Times New Roman"/>
          <w:b/>
          <w:sz w:val="18"/>
        </w:rPr>
        <w:t>Table S7. Class-specific peripheral-gradient removal and object-extent summaries.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rPr>
          <w:tblHeader w:val="true"/>
        </w:trPr>
        <w:tc>
          <w:tcPr>
            <w:tcW w:type="dxa" w:w="147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Level</w:t>
            </w:r>
          </w:p>
        </w:tc>
        <w:tc>
          <w:tcPr>
            <w:tcW w:type="dxa" w:w="147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Class</w:t>
            </w:r>
          </w:p>
        </w:tc>
        <w:tc>
          <w:tcPr>
            <w:tcW w:type="dxa" w:w="147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n</w:t>
            </w:r>
          </w:p>
        </w:tc>
        <w:tc>
          <w:tcPr>
            <w:tcW w:type="dxa" w:w="147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Median gradient removed (%)</w:t>
            </w:r>
          </w:p>
        </w:tc>
        <w:tc>
          <w:tcPr>
            <w:tcW w:type="dxa" w:w="147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Bootstrap CI low</w:t>
            </w:r>
          </w:p>
        </w:tc>
        <w:tc>
          <w:tcPr>
            <w:tcW w:type="dxa" w:w="147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Bootstrap CI high</w:t>
            </w:r>
          </w:p>
        </w:tc>
        <w:tc>
          <w:tcPr>
            <w:tcW w:type="dxa" w:w="1475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Median bounding-box fraction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403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14.293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13.916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14.895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0.901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501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7.632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7.132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7.982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0.518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410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6.460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5.498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7.064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0.536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594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7.219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6.665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7.879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0.777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482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6.055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5.613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6.874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0.568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137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4.279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3.637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5.235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0.567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403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31.343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30.521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32.354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0.901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501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17.417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16.515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18.456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0.518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410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15.942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14.346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17.193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0.536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594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18.057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16.823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19.489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0.777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482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14.738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13.187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16.636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0.568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137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9.965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8.339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11.817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0.567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403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50.761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49.950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51.838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0.901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501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30.917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29.426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32.999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0.518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410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29.609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27.917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31.946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0.536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594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35.951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33.717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37.629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0.777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482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28.783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26.829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30.467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0.568</w:t>
            </w:r>
          </w:p>
        </w:tc>
      </w:tr>
      <w:tr>
        <w:trPr>
          <w:cantSplit/>
        </w:trPr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137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20.005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15.992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22.368</w:t>
            </w:r>
          </w:p>
        </w:tc>
        <w:tc>
          <w:tcPr>
            <w:tcW w:type="dxa" w:w="147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0.567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Bootstrap confidence intervals used 1,000 resamples. Bounding-box area fraction is an automatic image-based proxy for apparent object extent, not a manual segmentation measurement.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/>
          <w:b/>
          <w:sz w:val="18"/>
        </w:rPr>
        <w:t>Table S8. Complete class-specific raw and object-extent-adjusted correlations for both representational metrics.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>
        <w:trPr>
          <w:tblHeader w:val="true"/>
        </w:trPr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Metric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Level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Class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n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Raw ρ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Partial ρ bbox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CI low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CI high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Holm p bbox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Partial ρ foreground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1"/>
              </w:rPr>
              <w:t>Holm p foreground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cardboard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0.369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1.09e-13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1.05e-15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glass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1.11e-11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2.13e-12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metal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6.40e-16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0.386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3.05e-15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paper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2.16e-04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4.14e-05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plastic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2.88e-08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3.68e-09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trash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0.825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-8.43e-04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0.992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cardboard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0.386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1.56e-09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3.32e-11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glass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0.320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1.71e-12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0.320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1.20e-12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metal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0.377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0.458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1.85e-14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3.20e-13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paper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0.157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plastic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3.47e-08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3.75e-09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trash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-0.200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0.851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cardboard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1.59e-08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1.01e-07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glass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5.32e-08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2.31e-07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metal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1.21e-07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6.37e-07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paper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0.872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-0.051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0.215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plastic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4.74e-04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trash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0.184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cardboard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1.34e-15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3.31e-18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glass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0.286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2.96e-10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5.01e-11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metal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0.377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0.361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0.447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2.61e-13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0.352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1.09e-12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paper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0.153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3.60e-04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plastic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0.279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5.86e-07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0.250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8.32e-08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trash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0.742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0.922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cardboard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0.328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0.392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3.28e-09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7.32e-11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glass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0.313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1.43e-06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1.10e-06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metal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2.30e-06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1.64e-05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paper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-0.029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-0.109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0.474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-0.053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0.195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plastic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0.162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0.050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0.149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trash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-0.173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-0.211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-0.363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-0.054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-0.181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0.070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cardboard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0.263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0.178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0.357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5.06e-07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0.235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9.51e-06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glass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0.012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-0.041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0.133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0.636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0.030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metal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410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0.021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-0.087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0.102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0.956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-0.015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paper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-0.214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-0.191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1.44e-05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-0.252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2.84e-09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plastic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482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-0.063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-0.084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-0.176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0.007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0.198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-0.068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0.405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trash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137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-0.366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-0.385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-0.522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-0.231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1.52e-05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-0.363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1"/>
              </w:rPr>
              <w:t>5.71e-05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Partial Spearman correlations were calculated after rank transformation and adjustment for bounding-box area fraction. Foreground-pixel fraction was used as a sensitivity covariate. Holm correction was applied within predefined families.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/>
          <w:b/>
          <w:sz w:val="18"/>
        </w:rPr>
        <w:t>Table S9. Cardboard-versus-other-class comparisons of peripheral-gradient removal.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47"/>
        <w:gridCol w:w="1147"/>
        <w:gridCol w:w="1147"/>
        <w:gridCol w:w="1147"/>
        <w:gridCol w:w="1147"/>
        <w:gridCol w:w="1147"/>
        <w:gridCol w:w="1147"/>
        <w:gridCol w:w="1147"/>
        <w:gridCol w:w="1147"/>
      </w:tblGrid>
      <w:tr>
        <w:trPr>
          <w:tblHeader w:val="true"/>
        </w:trPr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Level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Comparison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Cardboard median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Other median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Median difference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CI low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CI high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Rank-biserial r</w:t>
            </w:r>
          </w:p>
        </w:tc>
        <w:tc>
          <w:tcPr>
            <w:tcW w:type="dxa" w:w="1147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Holm p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glass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14.293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7.632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6.661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6.169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7.462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0.601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5.37e-54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metal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14.293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6.460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7.833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7.137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9.019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0.668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2.44e-60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paper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14.293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7.219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7.073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6.357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7.913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0.614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2.63e-60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plastic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14.293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6.055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8.237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7.372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9.022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0.595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2.91e-52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trash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14.293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4.279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10.014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9.024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10.913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0.784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8.93e-43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glass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31.343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17.417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13.925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12.544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15.228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0.648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1.77e-62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metal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31.343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15.942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15.401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13.841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17.178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0.691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1.95e-64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paper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31.343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18.057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13.286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11.587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14.785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0.619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1.87e-61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plastic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31.343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14.738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16.605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14.727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18.337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0.621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7.79e-57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trash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31.343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9.965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21.377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19.109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23.262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0.815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3.95e-46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glass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50.761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30.917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19.844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17.501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21.430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0.691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9.76e-71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metal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50.761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29.609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21.152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18.515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23.260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0.702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1.27e-66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paper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50.761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35.951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14.811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12.862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17.080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0.602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2.27e-58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plastic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50.761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28.783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21.979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19.814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23.977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0.634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5.62e-59</w:t>
            </w:r>
          </w:p>
        </w:tc>
      </w:tr>
      <w:tr>
        <w:trPr>
          <w:cantSplit/>
        </w:trPr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 vs trash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50.761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20.005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30.756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27.904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34.803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0.833</w:t>
            </w:r>
          </w:p>
        </w:tc>
        <w:tc>
          <w:tcPr>
            <w:tcW w:type="dxa" w:w="114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3.93e-48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Positive median differences indicate greater peripheral-gradient removal for cardboard. Confidence intervals were obtained by bootstrap resampling.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/>
          <w:b/>
          <w:sz w:val="18"/>
        </w:rPr>
        <w:t>Table S10. Pooled class-by-gradient interaction models and foreground-area sensitivity analysis.</w:t>
      </w:r>
    </w:p>
    <w:p>
      <w:pPr>
        <w:spacing w:after="120"/>
      </w:pPr>
      <w:r>
        <w:rPr>
          <w:rFonts w:ascii="Times New Roman" w:hAnsi="Times New Roman"/>
          <w:i/>
          <w:sz w:val="16"/>
        </w:rPr>
        <w:t>Panel A. Pooled rank-based models adjusted for bounding-box area fraction with HC3 robust standard errors.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>
        <w:trPr>
          <w:tblHeader w:val="true"/>
        </w:trPr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Metric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Level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n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R²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Adjusted R²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Wald statistic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df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Interaction Holm p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Extent β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Robust SE</w:t>
            </w:r>
          </w:p>
        </w:tc>
        <w:tc>
          <w:tcPr>
            <w:tcW w:type="dxa" w:w="939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Extent Holm p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0.156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0.152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21.597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0.053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0.145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0.141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37.664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1.32e-06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0.292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43.594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1.68e-07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0.912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0.148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0.144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20.683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0.001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0.060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0.022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0.035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40.548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4.63e-07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0.036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0.023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0.360</w:t>
            </w:r>
          </w:p>
        </w:tc>
      </w:tr>
      <w:tr>
        <w:trPr>
          <w:cantSplit/>
        </w:trPr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2527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41.570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3.60e-07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-0.018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0.024</w:t>
            </w:r>
          </w:p>
        </w:tc>
        <w:tc>
          <w:tcPr>
            <w:tcW w:type="dxa" w:w="939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0.912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Panel B. Adjusted class-specific gradient slopes derived from the pooled interaction models.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1"/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blHeader w:val="true"/>
        </w:trPr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Metric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Level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Class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Adjusted slope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Robust SE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CI low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CI high</w:t>
            </w:r>
          </w:p>
        </w:tc>
        <w:tc>
          <w:tcPr>
            <w:tcW w:type="dxa" w:w="1291"/>
            <w:shd w:fill="D9E2F3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2"/>
              </w:rPr>
              <w:t>p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0.292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0.178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0.406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5.18e-07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0.357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0.258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0.457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2.04e-12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0.429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0.334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0.523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4.71e-19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0.280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1.15e-06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0.323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0.237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0.408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1.27e-13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-0.165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0.241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0.715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0.285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0.170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1.09e-06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0.385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0.288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0.482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7.44e-15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0.426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0.339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0.514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1.23e-21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0.005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0.317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0.233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0.400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1.05e-13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0.011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-0.203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0.226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0.916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0.228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0.062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0.350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2.54e-04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0.307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0.408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2.91e-09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0.340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0.249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0.431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2.14e-13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0.008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-0.081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0.855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0.234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0.146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0.323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2.07e-07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Angular sensitivity (1 - cosine)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-0.144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-0.361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0.195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0.314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0.426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3.11e-08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0.338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0.238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0.437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2.98e-11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0.396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0.299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0.492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9.87e-16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0.172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0.252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2.86e-05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0.295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0.209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0.382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1.82e-11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low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-0.183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0.231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0.820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0.262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0.060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0.145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0.379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1.15e-05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0.278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0.176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0.379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7.68e-08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0.269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0.172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0.367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5.55e-08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-0.017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-0.104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0.069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0.697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0.176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0.265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1.02e-04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medium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-0.194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-0.413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0.026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0.083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cardboard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0.112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0.067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-0.019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0.244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0.095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glass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-0.064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0.150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0.431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metal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0.038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0.052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-0.064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0.139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0.468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paper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-0.225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-0.316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-0.134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1.21e-06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plastic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-0.026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0.049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-0.122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0.070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0.599</w:t>
            </w:r>
          </w:p>
        </w:tc>
      </w:tr>
      <w:tr>
        <w:trPr>
          <w:cantSplit/>
        </w:trPr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Relative Euclidean distance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high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trash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-0.452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0.108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-0.663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-0.240</w:t>
            </w:r>
          </w:p>
        </w:tc>
        <w:tc>
          <w:tcPr>
            <w:tcW w:type="dxa" w:w="1291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2"/>
              </w:rPr>
              <w:t>2.87e-05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The complete foreground-area-adjusted sensitivity analysis is reported in Table S8. These models assess class heterogeneity and do not establish a causal effect of peripheral-gradient removal.</w:t>
      </w:r>
    </w:p>
    <w:sectPr w:rsidR="00FC693F" w:rsidRPr="0006063C" w:rsidSect="00034616">
      <w:pgSz w:w="11909" w:h="16834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