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Supplementary Materials</w:t>
      </w:r>
    </w:p>
    <w:p>
      <w:pPr>
        <w:jc w:val="center"/>
      </w:pPr>
      <w:r>
        <w:rPr>
          <w:rFonts w:ascii="Times New Roman" w:hAnsi="Times New Roman"/>
          <w:b/>
          <w:sz w:val="24"/>
        </w:rPr>
        <w:t>Layer-Wise and Class-Specific Analysis of VGG-16 Representational Sensitivity to Controlled Image Transformations</w:t>
      </w:r>
    </w:p>
    <w:p>
      <w:pPr>
        <w:jc w:val="both"/>
      </w:pPr>
      <w:r/>
      <w:r>
        <w:rPr>
          <w:color w:val="0F5B9B"/>
        </w:rPr>
        <w:t>The primary analysis used all 2,527 TrashNet images with transformed images stored in PNG. Figures S1–S4 and Tables S1–S3 document the historical balanced 822-image analyses, the detailed intensity and block comparisons, and the matched JPG–PNG storage-format analysis. Figures S5–S8 and Tables S4–S10 provide the additional block-specific baseline, brightness-clipping, object-extent, peripheral-gradient, cross-class, and interaction analyses requested during editorial pre-review. Tables S11–S13 summarize the supplementary 822-image aspect-ratio preprocessing sensitivity analysis; this control was not performed on all 2,527 images.</w:t>
      </w:r>
    </w:p>
    <w:p>
      <w:pPr>
        <w:pStyle w:val="Heading1"/>
      </w:pPr>
      <w:r>
        <w:t>Supplementary Figures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074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rFonts w:ascii="Times New Roman" w:hAnsi="Times New Roman"/>
          <w:sz w:val="18"/>
        </w:rPr>
        <w:t>Figure S1. Layer-wise cosine similarity in the balanced 822-image JPG dataset. Panels show (a) brightness, (b) contrast, (c) rotation, and (d) center-crop zoom at low, medium, and high intensity.</w:t>
      </w:r>
    </w:p>
    <w:p>
      <w:r>
        <w:br w:type="page"/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0757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5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rFonts w:ascii="Times New Roman" w:hAnsi="Times New Roman"/>
          <w:sz w:val="18"/>
        </w:rPr>
        <w:t>Figure S2. Layer-wise relative Euclidean distance in the balanced 822-image JPG dataset. Panels show (a) brightness, (b) contrast, (c) rotation, and (d) center-crop zoom at low, medium, and high intensity.</w:t>
      </w:r>
    </w:p>
    <w:p>
      <w:r>
        <w:br w:type="page"/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061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1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rFonts w:ascii="Times New Roman" w:hAnsi="Times New Roman"/>
          <w:sz w:val="18"/>
        </w:rPr>
        <w:t>Figure S3. Class-specific cosine similarity at Block5 in the balanced 822-image JPG dataset. Panels show all six TrashNet classes under (a) brightness, (b) contrast, (c) rotation, and (d) center-crop zoom.</w:t>
      </w:r>
    </w:p>
    <w:p>
      <w:r>
        <w:br w:type="page"/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5093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9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rFonts w:ascii="Times New Roman" w:hAnsi="Times New Roman"/>
          <w:sz w:val="18"/>
        </w:rPr>
        <w:t>Figure S4. Mean paired difference in cosine similarity between PNG and JPG storage for the same 822 transformed images. Positive values indicate slightly higher cosine similarity for PNG; negative values indicate slightly higher cosine similarity for JPG.</w:t>
      </w:r>
    </w:p>
    <w:p>
      <w:r>
        <w:br w:type="page"/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1803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R1_baseline_cosine_by_block_revis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rFonts w:ascii="Times New Roman" w:hAnsi="Times New Roman"/>
          <w:sz w:val="18"/>
        </w:rPr>
        <w:t>Figure S5. Block-specific cosine-similarity distributions between distinct original images. Random, same-class, and different-class pairs were sampled without replacement using the same fixed pair indices across the five VGG-16 blocks.</w:t>
      </w:r>
    </w:p>
    <w:p>
      <w:r>
        <w:br w:type="page"/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2294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R3_brightness_clipping_revi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rFonts w:ascii="Times New Roman" w:hAnsi="Times New Roman"/>
          <w:sz w:val="18"/>
        </w:rPr>
        <w:t>Figure S6. Brightness-induced pixel saturation in the complete TrashNet dataset. The plot distinguishes pixels already saturated in the source images from pixels newly clipped after application of each brightness factor.</w:t>
      </w:r>
    </w:p>
    <w:p>
      <w:r>
        <w:br w:type="page"/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206240" cy="53091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R5_foreground_mask_Q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5309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rFonts w:ascii="Times New Roman" w:hAnsi="Times New Roman"/>
          <w:sz w:val="18"/>
        </w:rPr>
        <w:t>Figure S7. Visual quality-control examples for the automatic object-extent proxy. The masks were obtained by background-referenced RGB-distance thresholding followed by morphological cleaning and small-component removal; bounding-box area fraction was used as the primary extent covariate.</w:t>
      </w:r>
    </w:p>
    <w:p>
      <w:r>
        <w:br w:type="page"/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653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R5_partial_correlations_all_clas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both"/>
      </w:pPr>
      <w:r>
        <w:rPr>
          <w:rFonts w:ascii="Times New Roman" w:hAnsi="Times New Roman"/>
          <w:sz w:val="18"/>
        </w:rPr>
        <w:t>Figure S8. Object-extent-adjusted Spearman correlations between peripheral-gradient removal and Block5 sensitivity for all six TrashNet classes, two representational metrics, and three center-crop zoom levels. Confidence intervals and multiplicity-adjusted results are reported in Table S8.</w:t>
      </w:r>
    </w:p>
    <w:p>
      <w:pPr>
        <w:sectPr>
          <w:pgSz w:w="16834" w:h="11909"/>
          <w:pgMar w:top="1008" w:right="1080" w:bottom="1008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Supplementary Tables</w:t>
      </w:r>
    </w:p>
    <w:p>
      <w:pPr>
        <w:spacing w:before="160" w:after="80"/>
      </w:pPr>
      <w:r>
        <w:rPr>
          <w:rFonts w:ascii="Times New Roman" w:hAnsi="Times New Roman"/>
          <w:b/>
          <w:sz w:val="18"/>
        </w:rPr>
        <w:t>Table S1. Complete block-specific intensity statistics, paired effect sizes, and image-level ordering in the complete 2,527-image PNG dataset.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  <w:gridCol w:w="645"/>
      </w:tblGrid>
      <w:tr>
        <w:trPr>
          <w:tblHeader w:val="true"/>
        </w:trPr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Transformation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Metric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Block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n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Low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Medium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High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Δ L–M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Δ M–H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Expected order (%)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M–H inversions (%)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Kendall W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Friedman Holm p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L–M Holm p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M–H Holm p</w:t>
            </w:r>
          </w:p>
        </w:tc>
        <w:tc>
          <w:tcPr>
            <w:tcW w:type="dxa" w:w="64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L–H Holm p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99.723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99.960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99.604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99.921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99.683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0.684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99.763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0.616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99.960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0.707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99.802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0.549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99.921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0.354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0.476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99.565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99.960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99.842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97.824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2.176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91.057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8.943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0.919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96.161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3.641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87.693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12.109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0.891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99.960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0.459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0.530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98.021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1.979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93.866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6.134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0.724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96.359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3.443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0.731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0.816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82.430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17.452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0.854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5.79e-274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8.32e-04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99.921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99.842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99.881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99.960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0.112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0.139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0.386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100.000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  <w:tr>
        <w:trPr>
          <w:cantSplit/>
        </w:trPr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0.496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0.124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99.763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  <w:tc>
          <w:tcPr>
            <w:tcW w:type="dxa" w:w="64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r>
              <w:rPr>
                <w:color w:val="0F5B9B"/>
              </w:rPr>
              <w:t>&lt; 0.001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6"/>
        </w:rPr>
        <w:t>Angular sensitivity was defined as 1 − cosine similarity. Positive paired differences indicate greater alteration at the higher intensity. Exact unrounded values are retained in the accompanying derived-data file.</w:t>
      </w:r>
      <w:r>
        <w:rPr>
          <w:color w:val="0F5B9B"/>
        </w:rPr>
        <w:t xml:space="preserve"> Zero-valued floating-point outputs from extreme tail probabilities are reported as p &lt; 0.001 rather than as probabilities exactly equal to zero.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/>
          <w:b/>
          <w:sz w:val="18"/>
        </w:rPr>
        <w:t>Table S2. Pairwise block comparisons in the complete 2,527-image PNG dataset.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9"/>
        <w:gridCol w:w="939"/>
        <w:gridCol w:w="939"/>
        <w:gridCol w:w="939"/>
        <w:gridCol w:w="939"/>
        <w:gridCol w:w="939"/>
        <w:gridCol w:w="939"/>
        <w:gridCol w:w="939"/>
        <w:gridCol w:w="939"/>
        <w:gridCol w:w="939"/>
        <w:gridCol w:w="939"/>
      </w:tblGrid>
      <w:tr>
        <w:trPr>
          <w:tblHeader w:val="true"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Metric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Transformation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Intensity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Block A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Block B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Median A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Median B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Median difference B-A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Rank-biserial r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Holm-adjusted p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-0.340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-0.424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0.867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0.867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0.867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0.870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0.867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0.660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0.771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0.871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0.842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0.044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0.710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0.447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0.683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0.766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0.628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0.351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0.664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0.805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-0.680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-0.936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-0.813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0.733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-0.573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-0.342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-0.926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-0.913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0.715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0.860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0.464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-0.246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-0.929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-0.868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-0.147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-0.251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-0.134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-0.885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-0.062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-0.880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-0.065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-0.036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-0.893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-0.065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-0.892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0.843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-0.120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0.815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-0.148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0.843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-0.077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0.815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-0.105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-0.160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0.843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0.815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-0.488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0.843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-0.802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0.815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-0.055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-0.367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-0.781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0.934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-0.924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0.934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0.934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-0.036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-0.085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0.934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-0.653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-0.943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-0.437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-0.943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cosine_similarity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-0.434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-0.426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-0.257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-0.967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-0.340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-0.980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-0.068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-0.363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-0.305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-0.222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-0.862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-0.060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-0.581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-0.168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-0.910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-0.225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-0.981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-0.859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-0.151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-0.960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-0.573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-0.033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-0.550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-0.356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-0.050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-0.704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-0.969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0.354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-0.313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-0.983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-0.091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-0.569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0.354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-0.253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0.354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0.354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-0.547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-0.033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-0.788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-0.905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-0.073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-0.624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-0.055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-0.752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-0.069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-0.035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-0.429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-0.622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-0.655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-0.036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-0.768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-0.716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-0.080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-0.529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-0.650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-0.068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-0.770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-0.075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-0.878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-0.553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-0.036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-0.693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-0.857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-0.302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-0.548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0.458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0.267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0.847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0.459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0.420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0.724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0.447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0.458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0.459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0.459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0.724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0.459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0.724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0.362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0.724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0.552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0.386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0.386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0.386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0.386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0.733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0.602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relative_euclidean_distance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6"/>
        </w:rPr>
        <w:t>Wilcoxon signed-rank tests compare VGG-16 blocks within each transformation, intensity, and metric. P values were adjusted with the Holm procedure within each comparison family.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/>
          <w:b/>
          <w:sz w:val="18"/>
        </w:rPr>
        <w:t>Table S3. Matched comparison of JPG and PNG storage in the balanced 822-image subset.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</w:tblGrid>
      <w:tr>
        <w:trPr>
          <w:tblHeader w:val="true"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Metric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Transformation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Intensity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Block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JPG mean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PNG mean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Mean difference PNG-JPG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Mean absolute difference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Rank-biserial r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Holm-adjusted p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  <w:shd w:fill="D9E2F3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Significant after Holm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-0.213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0.851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0.867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0.870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0.484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-0.548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0.746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-0.231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-0.360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0.320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0.599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-0.319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0.458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-0.179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0.675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-0.181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-0.930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0.898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0.896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-0.942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-0.968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0.763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0.760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-0.714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-0.081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-0.677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-0.920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0.939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-0.891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0.865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0.867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-0.948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-0.957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0.844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-0.975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-0.635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-0.418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0.372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0.930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0.879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0.879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-0.127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-0.423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0.891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0.633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-0.373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0.786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0.598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0.718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cosine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0.892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0.781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0.795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0.729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0.742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0.554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0.561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0.643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0.489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0.486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-0.171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0.420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0.354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0.890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-0.676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0.674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0.677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0.866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0.623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0.540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0.549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0.424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0.430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0.564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0.373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0.368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-0.356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0.354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0.464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0.435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0.325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-0.623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0.489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0.433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-0.290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-0.753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0.664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-0.065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0.435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0.323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0.324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0.517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0.525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0.933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0.788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0.837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0.708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0.813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0.491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0.530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0.531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0.435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0.444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0.664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0.763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0.739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0.386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-0.080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0.459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-0.672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-0.866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-0.935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-0.565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-0.441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-0.193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-0.421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relative_euclidean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-0.031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0.442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2.921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2.938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0.882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5.087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5.195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7.922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8.086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0.854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4.144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4.199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0.643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2.459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2.442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-0.181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1.495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1.507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2.306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2.357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2.734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2.748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1.643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1.653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1.027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-0.680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2.396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2.412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0.871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4.012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4.098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5.914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6.036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0.751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3.188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3.233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0.572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brightness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1.876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1.850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-0.356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1.539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1.556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0.445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2.464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2.535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0.519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3.548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3.634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0.482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2.248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2.255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1.712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1.660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-0.052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0.596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0.508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0.476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1.488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1.465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-0.208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-0.080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-0.715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0.778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-0.084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1.110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1.126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0.543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1.756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1.819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0.699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2.593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2.646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0.435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1.664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1.654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contrast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1.273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1.228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1.167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1.172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0.936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3.522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3.575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0.941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8.851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9.162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0.311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6.158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6.344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4.158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4.205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0.551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0.554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0.787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1.722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1.757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0.908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4.590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4.741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3.726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3.785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0.858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2.628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2.630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0.969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0.939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3.027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3.090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7.795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8.122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0.327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0.328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5.350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5.514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rotation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3.749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3.803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0.734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0.727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0.730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1.692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1.689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-0.087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3.599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3.605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0.060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0.547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3.203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3.198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-0.079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2.607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2.620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0.008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0.460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0.486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0.463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-0.635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1.150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1.046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0.120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-0.849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1.245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1.159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-0.085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-0.932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1.192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1.161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-0.032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-0.554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0.406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0.407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0.987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0.974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-0.396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2.175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2.155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0.091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-0.193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2.079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2.054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-0.409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&lt;0.001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Yes</w:t>
            </w:r>
          </w:p>
        </w:tc>
      </w:tr>
      <w:tr>
        <w:trPr>
          <w:cantSplit/>
        </w:trPr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euclidean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zoom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Block5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822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1.809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1.809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0.047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-0.015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1.000</w:t>
            </w:r>
          </w:p>
        </w:tc>
        <w:tc>
          <w:tcPr>
            <w:tcW w:type="dxa" w:w="860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No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6"/>
        </w:rPr>
        <w:t>Each row summarizes the same source images, transformation, intensity, and VGG-16 block. Positive differences indicate larger values for PNG. Holm adjustment was applied across the 60 cells within each metric.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/>
          <w:b/>
          <w:sz w:val="18"/>
        </w:rPr>
        <w:t>Table S4. Complete block-specific cosine-similarity baselines between distinct original images.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</w:tblGrid>
      <w:tr>
        <w:trPr>
          <w:tblHeader w:val="true"/>
        </w:trPr>
        <w:tc>
          <w:tcPr>
            <w:tcW w:type="dxa" w:w="794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Block</w:t>
            </w:r>
          </w:p>
        </w:tc>
        <w:tc>
          <w:tcPr>
            <w:tcW w:type="dxa" w:w="794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Pair type</w:t>
            </w:r>
          </w:p>
        </w:tc>
        <w:tc>
          <w:tcPr>
            <w:tcW w:type="dxa" w:w="794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Eligible pairs</w:t>
            </w:r>
          </w:p>
        </w:tc>
        <w:tc>
          <w:tcPr>
            <w:tcW w:type="dxa" w:w="794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Sampled pairs</w:t>
            </w:r>
          </w:p>
        </w:tc>
        <w:tc>
          <w:tcPr>
            <w:tcW w:type="dxa" w:w="794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Mean</w:t>
            </w:r>
          </w:p>
        </w:tc>
        <w:tc>
          <w:tcPr>
            <w:tcW w:type="dxa" w:w="794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SD</w:t>
            </w:r>
          </w:p>
        </w:tc>
        <w:tc>
          <w:tcPr>
            <w:tcW w:type="dxa" w:w="794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Median</w:t>
            </w:r>
          </w:p>
        </w:tc>
        <w:tc>
          <w:tcPr>
            <w:tcW w:type="dxa" w:w="794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2.5%</w:t>
            </w:r>
          </w:p>
        </w:tc>
        <w:tc>
          <w:tcPr>
            <w:tcW w:type="dxa" w:w="794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Q1</w:t>
            </w:r>
          </w:p>
        </w:tc>
        <w:tc>
          <w:tcPr>
            <w:tcW w:type="dxa" w:w="794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Q3</w:t>
            </w:r>
          </w:p>
        </w:tc>
        <w:tc>
          <w:tcPr>
            <w:tcW w:type="dxa" w:w="794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97.5%</w:t>
            </w:r>
          </w:p>
        </w:tc>
        <w:tc>
          <w:tcPr>
            <w:tcW w:type="dxa" w:w="794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Min</w:t>
            </w:r>
          </w:p>
        </w:tc>
        <w:tc>
          <w:tcPr>
            <w:tcW w:type="dxa" w:w="794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Max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random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3191601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0.822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0.845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0.539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0.752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0.914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0.977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0.235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0.999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same class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591456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0.851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0.877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0.573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0.786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0.941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0.257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0.999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different class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2600145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0.816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0.838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0.533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0.747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0.907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0.972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0.239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0.996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random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3191601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0.855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0.870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0.671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0.815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0.909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0.959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0.347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0.997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same class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591456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0.872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0.887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0.692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0.837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0.924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0.971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0.398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1.000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different class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2600145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0.851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0.866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0.666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0.812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0.906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0.955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0.372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0.992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random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3191601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0.779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0.791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0.582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0.729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0.842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0.912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0.347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0.996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same class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591456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0.797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0.088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0.810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0.588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0.747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0.860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0.931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0.290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0.999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different class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2600145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0.776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0.787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0.580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0.726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0.839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0.906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0.307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0.973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random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3191601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0.631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0.643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0.387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0.558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0.715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0.818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0.124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0.996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same class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591456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0.675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0.688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0.426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0.609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0.753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0.855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0.165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0.995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different class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2600145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0.621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0.633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0.379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0.549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0.705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0.804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0.931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random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3191601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0.414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0.408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0.203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0.327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0.494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0.661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0.987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same class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591456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0.485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0.127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0.483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0.243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0.396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0.571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0.737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0.992</w:t>
            </w:r>
          </w:p>
        </w:tc>
      </w:tr>
      <w:tr>
        <w:trPr>
          <w:cantSplit/>
        </w:trPr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different class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2600145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100000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0.398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0.111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0.394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0.199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0.317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0.474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0.625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0.033</w:t>
            </w:r>
          </w:p>
        </w:tc>
        <w:tc>
          <w:tcPr>
            <w:tcW w:type="dxa" w:w="794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0.828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6"/>
        </w:rPr>
        <w:t>For each block, 100,000 random, same-class, and different-class unordered pairs were sampled without replacement using random seed 2026. The same pair indices were used across blocks.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/>
          <w:b/>
          <w:sz w:val="18"/>
        </w:rPr>
        <w:t>Table S5. Complete baseline-adjusted angular sensitivity and centered linear CKA results.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>
        <w:trPr>
          <w:tblHeader w:val="true"/>
        </w:trPr>
        <w:tc>
          <w:tcPr>
            <w:tcW w:type="dxa" w:w="1032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Transformation</w:t>
            </w:r>
          </w:p>
        </w:tc>
        <w:tc>
          <w:tcPr>
            <w:tcW w:type="dxa" w:w="1032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Level</w:t>
            </w:r>
          </w:p>
        </w:tc>
        <w:tc>
          <w:tcPr>
            <w:tcW w:type="dxa" w:w="1032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Block</w:t>
            </w:r>
          </w:p>
        </w:tc>
        <w:tc>
          <w:tcPr>
            <w:tcW w:type="dxa" w:w="1032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n</w:t>
            </w:r>
          </w:p>
        </w:tc>
        <w:tc>
          <w:tcPr>
            <w:tcW w:type="dxa" w:w="1032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Adjusted mean</w:t>
            </w:r>
          </w:p>
        </w:tc>
        <w:tc>
          <w:tcPr>
            <w:tcW w:type="dxa" w:w="1032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Adjusted SD</w:t>
            </w:r>
          </w:p>
        </w:tc>
        <w:tc>
          <w:tcPr>
            <w:tcW w:type="dxa" w:w="1032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Adjusted median</w:t>
            </w:r>
          </w:p>
        </w:tc>
        <w:tc>
          <w:tcPr>
            <w:tcW w:type="dxa" w:w="1032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2.5%</w:t>
            </w:r>
          </w:p>
        </w:tc>
        <w:tc>
          <w:tcPr>
            <w:tcW w:type="dxa" w:w="1032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97.5%</w:t>
            </w:r>
          </w:p>
        </w:tc>
        <w:tc>
          <w:tcPr>
            <w:tcW w:type="dxa" w:w="1032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Linear CKA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0.332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0.201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0.316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0.779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0.938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0.333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0.229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0.290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0.877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0.971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0.135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0.173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0.598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0.973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0.251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0.991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0.985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0.769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0.422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0.754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1.615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0.804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0.892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0.511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0.855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0.120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1.974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0.930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0.588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0.487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0.453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1.862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0.884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0.258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0.198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0.210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0.797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0.966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0.129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0.390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0.945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1.061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0.561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1.041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0.154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2.202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0.727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1.346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0.734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1.309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0.211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2.944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0.903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0.704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0.846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2.568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0.836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0.430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0.287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0.372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0.067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1.115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0.942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brightness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0.230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0.151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0.192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0.644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0.894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0.993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0.997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0.999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0.998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0.994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0.248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0.976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0.062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0.287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0.991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0.155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0.994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0.995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0.981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0.201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0.191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0.422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0.954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0.191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0.164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0.474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0.985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0.329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0.987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0.066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0.169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0.990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contrast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0.067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0.207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0.966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0.139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0.997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0.206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0.199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0.063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0.374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0.989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0.291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0.148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0.270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0.619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0.982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0.273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0.257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0.545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0.972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0.219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0.204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0.430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0.936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0.232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0.229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0.394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0.987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0.626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0.251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0.610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0.234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1.119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0.962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0.785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0.343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0.750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0.219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1.538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0.930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0.532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0.184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0.519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0.212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0.924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0.921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0.418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0.134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0.408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0.188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0.715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0.858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0.332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0.120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0.135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0.553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0.981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0.813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0.323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0.786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0.326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1.518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0.948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0.374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0.963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0.340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1.756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0.924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0.675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0.211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0.677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0.289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1.105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0.907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rotation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0.516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0.157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0.513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0.234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0.830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0.827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9.17e-04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0.990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0.989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0.989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0.989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0.977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0.136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0.950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0.133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0.945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0.140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0.948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0.170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0.953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0.192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0.936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0.399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0.855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Block2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0.160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0.139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0.385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0.842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Block3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0.158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0.140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0.065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0.370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0.853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0.198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0.079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0.184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0.401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0.875</w:t>
            </w:r>
          </w:p>
        </w:tc>
      </w:tr>
      <w:tr>
        <w:trPr>
          <w:cantSplit/>
        </w:trPr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zoom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Block5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0.206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0.071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0.195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0.107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0.378</w:t>
            </w:r>
          </w:p>
        </w:tc>
        <w:tc>
          <w:tcPr>
            <w:tcW w:type="dxa" w:w="1032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0.857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6"/>
        </w:rPr>
        <w:t>Baseline-adjusted angular sensitivity expresses the original–transformed angular change relative to the median random-pair separation within the same block. CKA evaluates preservation of the joint representational organization of all 2,527 images.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/>
          <w:b/>
          <w:sz w:val="18"/>
        </w:rPr>
        <w:t>Table S6. Brightness-induced pixel clipping in the complete TrashNet dataset.</w:t>
      </w:r>
    </w:p>
    <w:p>
      <w:pPr>
        <w:spacing w:after="120"/>
      </w:pPr>
      <w:r>
        <w:rPr>
          <w:rFonts w:ascii="Times New Roman" w:hAnsi="Times New Roman"/>
          <w:i/>
          <w:sz w:val="16"/>
        </w:rPr>
        <w:t>Panel A. Overall clipping summary.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47"/>
        <w:gridCol w:w="1147"/>
        <w:gridCol w:w="1147"/>
        <w:gridCol w:w="1147"/>
        <w:gridCol w:w="1147"/>
        <w:gridCol w:w="1147"/>
        <w:gridCol w:w="1147"/>
        <w:gridCol w:w="1147"/>
        <w:gridCol w:w="1147"/>
      </w:tblGrid>
      <w:tr>
        <w:trPr>
          <w:tblHeader w:val="true"/>
        </w:trPr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Level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Factor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n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Pre-existing saturated (%)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Saturated after (%)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Newly clipped (%)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Per-image Q1 (%)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Per-image median (%)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Per-image Q3 (%)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1.200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0.586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29.811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29.225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16.646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29.664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40.151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1.400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0.586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53.668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53.082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43.325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54.494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65.004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1.600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0.586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69.444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68.858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60.735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71.135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80.694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6"/>
        </w:rPr>
        <w:t>Panel B. Class-specific clipping summary.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1"/>
        <w:gridCol w:w="1291"/>
        <w:gridCol w:w="1291"/>
        <w:gridCol w:w="1291"/>
        <w:gridCol w:w="1291"/>
        <w:gridCol w:w="1291"/>
        <w:gridCol w:w="1291"/>
        <w:gridCol w:w="1291"/>
      </w:tblGrid>
      <w:tr>
        <w:trPr>
          <w:tblHeader w:val="true"/>
        </w:trPr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Level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Factor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Class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n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Newly clipped global (%)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Per-image Q1 (%)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Per-image median (%)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Per-image Q3 (%)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1.200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403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24.658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14.540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24.161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32.442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1.200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glass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501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36.738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27.797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38.377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47.292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1.200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metal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410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31.698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15.022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33.408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44.783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1.200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paper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26.545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15.493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26.198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36.161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1.200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plastic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482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25.387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14.846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26.285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35.182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1.200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trash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137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32.907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15.223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35.269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48.654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1.400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403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47.701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37.018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48.539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59.140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1.400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glass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501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59.458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53.510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61.943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70.834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1.400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metal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410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51.745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38.152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54.858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66.824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1.400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paper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53.151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44.364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52.179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63.536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1.400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plastic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482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51.572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42.292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52.646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61.354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1.400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trash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137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54.608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48.038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57.865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68.035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1.600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403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63.913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54.184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66.784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77.188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1.600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glass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501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72.965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67.389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75.053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81.446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1.600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metal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410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63.280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51.757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65.351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78.089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1.600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paper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68.926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59.896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69.449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80.552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1.600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plastic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482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73.144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66.766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75.501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82.993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1.600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trash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137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69.699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63.947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71.304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80.565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rFonts w:ascii="Times New Roman" w:hAnsi="Times New Roman"/>
          <w:b/>
          <w:sz w:val="18"/>
        </w:rPr>
        <w:t>Table S7. Class-specific peripheral-gradient removal and object-extent summaries.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75"/>
        <w:gridCol w:w="1475"/>
        <w:gridCol w:w="1475"/>
        <w:gridCol w:w="1475"/>
        <w:gridCol w:w="1475"/>
        <w:gridCol w:w="1475"/>
        <w:gridCol w:w="1475"/>
      </w:tblGrid>
      <w:tr>
        <w:trPr>
          <w:tblHeader w:val="true"/>
        </w:trPr>
        <w:tc>
          <w:tcPr>
            <w:tcW w:type="dxa" w:w="147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Level</w:t>
            </w:r>
          </w:p>
        </w:tc>
        <w:tc>
          <w:tcPr>
            <w:tcW w:type="dxa" w:w="147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Class</w:t>
            </w:r>
          </w:p>
        </w:tc>
        <w:tc>
          <w:tcPr>
            <w:tcW w:type="dxa" w:w="147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n</w:t>
            </w:r>
          </w:p>
        </w:tc>
        <w:tc>
          <w:tcPr>
            <w:tcW w:type="dxa" w:w="147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Median gradient removed (%)</w:t>
            </w:r>
          </w:p>
        </w:tc>
        <w:tc>
          <w:tcPr>
            <w:tcW w:type="dxa" w:w="147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Bootstrap CI low</w:t>
            </w:r>
          </w:p>
        </w:tc>
        <w:tc>
          <w:tcPr>
            <w:tcW w:type="dxa" w:w="147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Bootstrap CI high</w:t>
            </w:r>
          </w:p>
        </w:tc>
        <w:tc>
          <w:tcPr>
            <w:tcW w:type="dxa" w:w="1475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Median bounding-box fraction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403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14.293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13.916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14.895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0.901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glass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501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7.632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7.132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7.982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0.518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metal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410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6.460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5.498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7.064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0.536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paper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594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7.219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6.665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7.879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0.777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plastic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482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6.055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5.613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6.874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0.568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trash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137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4.279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3.637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5.235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0.567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403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31.343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30.521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32.354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0.901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glass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501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17.417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16.515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18.456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0.518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metal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410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15.942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14.346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17.193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0.536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paper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594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18.057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16.823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19.489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0.777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plastic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482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14.738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13.187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16.636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0.568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trash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137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9.965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8.339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11.817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0.567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403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50.761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49.950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51.838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0.901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glass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501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30.917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29.426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32.999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0.518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metal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410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29.609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27.917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31.946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0.536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paper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594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35.951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33.717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37.629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0.777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plastic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482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28.783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26.829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30.467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0.568</w:t>
            </w:r>
          </w:p>
        </w:tc>
      </w:tr>
      <w:tr>
        <w:trPr>
          <w:cantSplit/>
        </w:trPr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trash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137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20.005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15.992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22.368</w:t>
            </w:r>
          </w:p>
        </w:tc>
        <w:tc>
          <w:tcPr>
            <w:tcW w:type="dxa" w:w="1475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0.567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6"/>
        </w:rPr>
        <w:t>Bootstrap confidence intervals used 1,000 resamples. Bounding-box area fraction is an automatic image-based proxy for apparent object extent, not a manual segmentation measurement.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/>
          <w:b/>
          <w:sz w:val="18"/>
        </w:rPr>
        <w:t>Table S8. Complete class-specific raw and object-extent-adjusted correlations for both representational metrics.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9"/>
        <w:gridCol w:w="939"/>
        <w:gridCol w:w="939"/>
        <w:gridCol w:w="939"/>
        <w:gridCol w:w="939"/>
        <w:gridCol w:w="939"/>
        <w:gridCol w:w="939"/>
        <w:gridCol w:w="939"/>
        <w:gridCol w:w="939"/>
        <w:gridCol w:w="939"/>
        <w:gridCol w:w="939"/>
      </w:tblGrid>
      <w:tr>
        <w:trPr>
          <w:tblHeader w:val="true"/>
        </w:trPr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Metric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Level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Class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n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Raw ρ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Partial ρ bbox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CI low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CI high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Holm p bbox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Partial ρ foreground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1"/>
              </w:rPr>
              <w:t>Holm p foreground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cardboard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0.369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1.09e-13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1.05e-15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glass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0.315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1.11e-11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0.315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2.13e-12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metal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410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6.40e-16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0.386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3.05e-15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paper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594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2.16e-04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4.14e-05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plastic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2.88e-08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3.68e-09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trash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0.825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-8.43e-04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0.992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cardboard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0.386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1.56e-09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3.32e-11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glass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0.320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1.71e-12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0.320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1.20e-12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metal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410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0.377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0.458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1.85e-14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3.20e-13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paper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594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0.157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plastic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3.47e-08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3.75e-09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trash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-0.200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0.613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0.851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cardboard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1.59e-08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1.01e-07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glass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5.32e-08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2.31e-07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metal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410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1.21e-07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6.37e-07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paper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594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0.872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-0.051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0.215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plastic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4.74e-04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trash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0.184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cardboard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0.424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1.34e-15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0.424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3.31e-18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glass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0.286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2.96e-10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5.01e-11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metal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410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0.377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0.361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0.447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2.61e-13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0.352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1.09e-12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paper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594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0.153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3.60e-04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plastic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0.279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5.86e-07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0.250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8.32e-08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trash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0.742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0.922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cardboard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0.328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0.392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3.28e-09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7.32e-11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glass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0.313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1.43e-06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1.10e-06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metal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410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0.340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2.30e-06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1.64e-05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paper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594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-0.029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-0.109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0.474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-0.053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0.195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plastic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0.162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0.050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0.149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trash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-0.173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-0.211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-0.363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-0.054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-0.181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0.070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cardboard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0.263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0.178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0.357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5.06e-07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0.235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9.51e-06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glass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0.012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-0.041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0.133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0.636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0.030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metal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410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0.021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-0.087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0.102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0.956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-0.015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paper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594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-0.214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-0.191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-0.105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1.44e-05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-0.252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2.84e-09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plastic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482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-0.063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-0.084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-0.176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0.007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0.198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-0.068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0.405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trash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137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-0.366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-0.385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-0.522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-0.231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1.52e-05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-0.363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1"/>
              </w:rPr>
              <w:t>5.71e-05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6"/>
        </w:rPr>
        <w:t>Partial Spearman correlations were calculated after rank transformation and adjustment for bounding-box area fraction. Foreground-pixel fraction was used as a sensitivity covariate. Holm correction was applied within predefined families.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/>
          <w:b/>
          <w:sz w:val="18"/>
        </w:rPr>
        <w:t>Table S9. Cardboard-versus-other-class comparisons of peripheral-gradient removal.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47"/>
        <w:gridCol w:w="1147"/>
        <w:gridCol w:w="1147"/>
        <w:gridCol w:w="1147"/>
        <w:gridCol w:w="1147"/>
        <w:gridCol w:w="1147"/>
        <w:gridCol w:w="1147"/>
        <w:gridCol w:w="1147"/>
        <w:gridCol w:w="1147"/>
      </w:tblGrid>
      <w:tr>
        <w:trPr>
          <w:tblHeader w:val="true"/>
        </w:trPr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Level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Comparison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Cardboard median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Other median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Median difference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CI low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CI high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Rank-biserial r</w:t>
            </w:r>
          </w:p>
        </w:tc>
        <w:tc>
          <w:tcPr>
            <w:tcW w:type="dxa" w:w="1147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Holm p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glass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14.293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7.632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6.661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6.169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7.462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0.601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5.37e-54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metal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14.293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6.460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7.833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7.137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9.019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0.668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2.44e-60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paper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14.293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7.219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7.073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6.357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7.913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0.614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2.63e-60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plastic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14.293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6.055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8.237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7.372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9.022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0.595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2.91e-52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trash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14.293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4.279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10.014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9.024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10.913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0.784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8.93e-43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glass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31.343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17.417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13.925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12.544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15.228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0.648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1.77e-62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metal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31.343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15.942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15.401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13.841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17.178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0.691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1.95e-64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paper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31.343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18.057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13.286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11.587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14.785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0.619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1.87e-61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plastic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31.343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14.738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16.605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14.727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18.337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0.621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7.79e-57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trash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31.343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9.965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21.377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19.109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23.262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0.815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3.95e-46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glass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50.761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30.917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19.844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17.501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21.430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0.691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9.76e-71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metal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50.761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29.609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21.152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18.515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23.260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0.702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1.27e-66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paper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50.761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35.951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14.811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12.862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17.080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0.602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2.27e-58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plastic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50.761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28.783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21.979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19.814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23.977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0.634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5.62e-59</w:t>
            </w:r>
          </w:p>
        </w:tc>
      </w:tr>
      <w:tr>
        <w:trPr>
          <w:cantSplit/>
        </w:trPr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 vs trash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50.761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20.005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30.756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27.904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34.803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0.833</w:t>
            </w:r>
          </w:p>
        </w:tc>
        <w:tc>
          <w:tcPr>
            <w:tcW w:type="dxa" w:w="1147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3.93e-48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6"/>
        </w:rPr>
        <w:t>Positive median differences indicate greater peripheral-gradient removal for cardboard. Confidence intervals were obtained by bootstrap resampling.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/>
          <w:b/>
          <w:sz w:val="18"/>
        </w:rPr>
        <w:t>Table S10. Pooled class-by-gradient interaction models and foreground-area sensitivity analysis.</w:t>
      </w:r>
    </w:p>
    <w:p>
      <w:pPr>
        <w:spacing w:after="120"/>
      </w:pPr>
      <w:r>
        <w:rPr>
          <w:rFonts w:ascii="Times New Roman" w:hAnsi="Times New Roman"/>
          <w:i/>
          <w:sz w:val="16"/>
        </w:rPr>
        <w:t>Panel A. Pooled rank-based models adjusted for bounding-box area fraction with HC3 robust standard errors.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9"/>
        <w:gridCol w:w="939"/>
        <w:gridCol w:w="939"/>
        <w:gridCol w:w="939"/>
        <w:gridCol w:w="939"/>
        <w:gridCol w:w="939"/>
        <w:gridCol w:w="939"/>
        <w:gridCol w:w="939"/>
        <w:gridCol w:w="939"/>
        <w:gridCol w:w="939"/>
        <w:gridCol w:w="939"/>
      </w:tblGrid>
      <w:tr>
        <w:trPr>
          <w:tblHeader w:val="true"/>
        </w:trPr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Metric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Level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n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R²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Adjusted R²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Wald statistic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df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Interaction Holm p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Extent β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Robust SE</w:t>
            </w:r>
          </w:p>
        </w:tc>
        <w:tc>
          <w:tcPr>
            <w:tcW w:type="dxa" w:w="939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Extent Holm p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0.156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0.152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21.597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0.053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0.145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0.141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37.664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1.32e-06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0.292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43.594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1.68e-07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0.912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0.148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0.144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20.683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0.001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0.060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0.022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0.035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40.548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4.63e-07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0.036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0.023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0.360</w:t>
            </w:r>
          </w:p>
        </w:tc>
      </w:tr>
      <w:tr>
        <w:trPr>
          <w:cantSplit/>
        </w:trPr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2527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41.570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3.60e-07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-0.018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0.024</w:t>
            </w:r>
          </w:p>
        </w:tc>
        <w:tc>
          <w:tcPr>
            <w:tcW w:type="dxa" w:w="939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0.912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6"/>
        </w:rPr>
        <w:t>Panel B. Adjusted class-specific gradient slopes derived from the pooled interaction models.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1"/>
        <w:gridCol w:w="1291"/>
        <w:gridCol w:w="1291"/>
        <w:gridCol w:w="1291"/>
        <w:gridCol w:w="1291"/>
        <w:gridCol w:w="1291"/>
        <w:gridCol w:w="1291"/>
        <w:gridCol w:w="1291"/>
      </w:tblGrid>
      <w:tr>
        <w:trPr>
          <w:tblHeader w:val="true"/>
        </w:trPr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Metric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Level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Class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Adjusted slope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Robust SE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CI low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CI high</w:t>
            </w:r>
          </w:p>
        </w:tc>
        <w:tc>
          <w:tcPr>
            <w:tcW w:type="dxa" w:w="1291"/>
            <w:shd w:fill="D9E2F3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2"/>
              </w:rPr>
              <w:t>p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0.292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0.178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0.406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5.18e-07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glass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0.357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0.258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0.457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2.04e-12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metal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0.429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0.334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0.523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4.71e-19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paper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0.280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1.15e-06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plastic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0.323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0.237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0.408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1.27e-13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trash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-0.165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0.241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0.715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0.285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0.170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1.09e-06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glass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0.385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0.288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0.482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7.44e-15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metal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0.426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0.339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0.514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1.23e-21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paper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0.202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0.005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plastic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0.317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0.233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0.400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1.05e-13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trash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0.011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-0.203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0.226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0.916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0.228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0.062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0.350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2.54e-04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glass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0.307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0.206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0.408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2.91e-09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metal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0.340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0.249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0.431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2.14e-13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paper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0.008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-0.081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0.855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plastic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0.234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0.146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0.323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2.07e-07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Angular sensitivity (1 - cosine)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trash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-0.144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-0.361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0.195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0.314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0.203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0.426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3.11e-08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glass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0.338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0.238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0.437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2.98e-11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metal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0.396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0.299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0.492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9.87e-16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paper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0.172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0.252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2.86e-05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plastic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0.295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0.209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0.382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1.82e-11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low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trash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-0.183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0.231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0.820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0.262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0.060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0.145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0.379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1.15e-05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glass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0.278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0.176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0.379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7.68e-08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metal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0.269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0.172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0.367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5.55e-08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paper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-0.017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-0.104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0.069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0.697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plastic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0.176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0.265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1.02e-04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medium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trash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-0.194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-0.413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0.026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0.083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cardboard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0.112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0.067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-0.019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0.244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0.095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glass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-0.064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0.150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0.431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metal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0.038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0.052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-0.064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0.139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0.468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paper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-0.225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-0.316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-0.134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1.21e-06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plastic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-0.026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0.049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-0.122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0.070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0.599</w:t>
            </w:r>
          </w:p>
        </w:tc>
      </w:tr>
      <w:tr>
        <w:trPr>
          <w:cantSplit/>
        </w:trPr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Relative Euclidean distance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high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trash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-0.452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0.108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-0.663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-0.240</w:t>
            </w:r>
          </w:p>
        </w:tc>
        <w:tc>
          <w:tcPr>
            <w:tcW w:type="dxa" w:w="1291"/>
            <w:tcMar>
              <w:top w:w="45" w:type="dxa"/>
              <w:start w:w="55" w:type="dxa"/>
              <w:bottom w:w="45" w:type="dxa"/>
              <w:end w:w="5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2"/>
              </w:rPr>
              <w:t>2.87e-05</w:t>
            </w:r>
          </w:p>
        </w:tc>
      </w:tr>
    </w:tbl>
    <w:p>
      <w:pPr>
        <w:spacing w:after="120"/>
      </w:pPr>
      <w:r>
        <w:rPr>
          <w:rFonts w:ascii="Times New Roman" w:hAnsi="Times New Roman"/>
          <w:i/>
          <w:sz w:val="16"/>
        </w:rPr>
        <w:t>The complete foreground-area-adjusted sensitivity analysis is reported in Table S8. These models assess class heterogeneity and do not establish a causal effect of peripheral-gradient removal.</w:t>
      </w:r>
    </w:p>
    <w:p>
      <w:pPr>
        <w:pStyle w:val="Heading1"/>
      </w:pPr>
      <w:r>
        <w:rPr>
          <w:color w:val="0F5B9B"/>
        </w:rPr>
        <w:t>Supplementary preprocessing sensitivity control (822 images)</w:t>
      </w:r>
    </w:p>
    <w:p>
      <w:pPr>
        <w:keepNext/>
      </w:pPr>
      <w:r>
        <w:rPr>
          <w:color w:val="0F5B9B"/>
        </w:rPr>
        <w:t>Table S11. Block of maximum mean baseline-adjusted angular sensitivity across the 12 transformation–intensity conditions, by preprocessing strategy.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5"/>
        <w:gridCol w:w="2065"/>
        <w:gridCol w:w="2065"/>
        <w:gridCol w:w="2065"/>
        <w:gridCol w:w="2065"/>
      </w:tblGrid>
      <w:tr>
        <w:tc>
          <w:tcPr>
            <w:tcW w:type="dxa" w:w="2065"/>
          </w:tcPr>
          <w:p>
            <w:r>
              <w:rPr>
                <w:b/>
                <w:color w:val="0F5B9B"/>
                <w:sz w:val="14"/>
              </w:rPr>
              <w:t>Transformation</w:t>
            </w:r>
          </w:p>
        </w:tc>
        <w:tc>
          <w:tcPr>
            <w:tcW w:type="dxa" w:w="2065"/>
          </w:tcPr>
          <w:p>
            <w:r>
              <w:rPr>
                <w:b/>
                <w:color w:val="0F5B9B"/>
                <w:sz w:val="14"/>
              </w:rPr>
              <w:t>Level</w:t>
            </w:r>
          </w:p>
        </w:tc>
        <w:tc>
          <w:tcPr>
            <w:tcW w:type="dxa" w:w="2065"/>
          </w:tcPr>
          <w:p>
            <w:r>
              <w:rPr>
                <w:b/>
                <w:color w:val="0F5B9B"/>
                <w:sz w:val="14"/>
              </w:rPr>
              <w:t>Direct 224×224</w:t>
            </w:r>
          </w:p>
        </w:tc>
        <w:tc>
          <w:tcPr>
            <w:tcW w:type="dxa" w:w="2065"/>
          </w:tcPr>
          <w:p>
            <w:r>
              <w:rPr>
                <w:b/>
                <w:color w:val="0F5B9B"/>
                <w:sz w:val="14"/>
              </w:rPr>
              <w:t>No padding</w:t>
            </w:r>
          </w:p>
        </w:tc>
        <w:tc>
          <w:tcPr>
            <w:tcW w:type="dxa" w:w="2065"/>
          </w:tcPr>
          <w:p>
            <w:r>
              <w:rPr>
                <w:b/>
                <w:color w:val="0F5B9B"/>
                <w:sz w:val="14"/>
              </w:rPr>
              <w:t>Letterbox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Brightness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Low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Brightness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Medium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Block2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Block2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Brightness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High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Block2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Block2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Block2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Contrast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Low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Contrast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Medium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Contrast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High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Rotation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Low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Block4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Rotation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Medium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Block3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Rotation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High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Block3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Zoom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Low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Block5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Block5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Block5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Zoom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Medium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Block5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Block5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Block5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Zoom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High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Block5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Block5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Block5</w:t>
            </w:r>
          </w:p>
        </w:tc>
      </w:tr>
    </w:tbl>
    <w:p>
      <w:r>
        <w:rPr>
          <w:color w:val="0F5B9B"/>
        </w:rPr>
        <w:t>Each block maximum is selected from mean A_adj values using its own strategy-specific random-pair baseline. Contrast peaked at Block1 and zoom at Block5 across all conditions; letterbox shifts occurred only for medium brightness and low rotation.</w:t>
      </w:r>
    </w:p>
    <w:p>
      <w:pPr>
        <w:keepNext/>
      </w:pPr>
      <w:r>
        <w:rPr>
          <w:color w:val="0F5B9B"/>
        </w:rPr>
        <w:t>Table S12. Centered linear CKA under low, medium, and high rotation in the balanced 822-image preprocessing control.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5"/>
        <w:gridCol w:w="2065"/>
        <w:gridCol w:w="2065"/>
        <w:gridCol w:w="2065"/>
        <w:gridCol w:w="2065"/>
      </w:tblGrid>
      <w:tr>
        <w:tc>
          <w:tcPr>
            <w:tcW w:type="dxa" w:w="2065"/>
          </w:tcPr>
          <w:p>
            <w:r>
              <w:rPr>
                <w:b/>
                <w:color w:val="0F5B9B"/>
                <w:sz w:val="14"/>
              </w:rPr>
              <w:t>Rotation</w:t>
            </w:r>
          </w:p>
        </w:tc>
        <w:tc>
          <w:tcPr>
            <w:tcW w:type="dxa" w:w="2065"/>
          </w:tcPr>
          <w:p>
            <w:r>
              <w:rPr>
                <w:b/>
                <w:color w:val="0F5B9B"/>
                <w:sz w:val="14"/>
              </w:rPr>
              <w:t>Block</w:t>
            </w:r>
          </w:p>
        </w:tc>
        <w:tc>
          <w:tcPr>
            <w:tcW w:type="dxa" w:w="2065"/>
          </w:tcPr>
          <w:p>
            <w:r>
              <w:rPr>
                <w:b/>
                <w:color w:val="0F5B9B"/>
                <w:sz w:val="14"/>
              </w:rPr>
              <w:t>Direct 224×224</w:t>
            </w:r>
          </w:p>
        </w:tc>
        <w:tc>
          <w:tcPr>
            <w:tcW w:type="dxa" w:w="2065"/>
          </w:tcPr>
          <w:p>
            <w:r>
              <w:rPr>
                <w:b/>
                <w:color w:val="0F5B9B"/>
                <w:sz w:val="14"/>
              </w:rPr>
              <w:t>No padding</w:t>
            </w:r>
          </w:p>
        </w:tc>
        <w:tc>
          <w:tcPr>
            <w:tcW w:type="dxa" w:w="2065"/>
          </w:tcPr>
          <w:p>
            <w:r>
              <w:rPr>
                <w:b/>
                <w:color w:val="0F5B9B"/>
                <w:sz w:val="14"/>
              </w:rPr>
              <w:t>Letterbox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Low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0.9971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0.9969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0.9972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Low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Block2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0.9889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0.9883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0.9896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Low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0.9816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0.9807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0.9812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Low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Block4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0.9724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0.9705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0.9704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Low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Block5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0.9380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0.9343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0.9383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Medium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0.9883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0.9881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0.9886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Medium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Block2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0.9612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0.9604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0.9636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Medium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0.9307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0.9302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0.9317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Medium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Block4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0.9262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0.9137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0.9194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Medium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Block5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0.8640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0.8473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0.8477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High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Block1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0.9820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0.9822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0.9828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High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Block2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0.9463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0.9497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0.9527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High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Block3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0.9229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0.9245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0.9262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High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Block4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0.9056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0.8885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0.8950</w:t>
            </w:r>
          </w:p>
        </w:tc>
      </w:tr>
      <w:tr>
        <w:trPr>
          <w:cantSplit/>
        </w:trPr>
        <w:tc>
          <w:tcPr>
            <w:tcW w:type="dxa" w:w="2065"/>
          </w:tcPr>
          <w:p>
            <w:r>
              <w:rPr>
                <w:color w:val="0F5B9B"/>
                <w:sz w:val="14"/>
              </w:rPr>
              <w:t>High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Block5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0.8316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0.8082</w:t>
            </w:r>
          </w:p>
        </w:tc>
        <w:tc>
          <w:tcPr>
            <w:tcW w:type="dxa" w:w="2065"/>
          </w:tcPr>
          <w:p>
            <w:r>
              <w:rPr>
                <w:color w:val="0F5B9B"/>
                <w:sz w:val="14"/>
              </w:rPr>
              <w:t>0.8084</w:t>
            </w:r>
          </w:p>
        </w:tc>
      </w:tr>
    </w:tbl>
    <w:p>
      <w:r>
        <w:rPr>
          <w:color w:val="0F5B9B"/>
        </w:rPr>
        <w:t>Centered linear CKA was computed within each strategy from the same 822 original–transformed pairs. These values are descriptive and should not be compared with whole-dataset CKA as if they arose from independent samples.</w:t>
      </w:r>
    </w:p>
    <w:p>
      <w:pPr>
        <w:keepNext/>
      </w:pPr>
      <w:r>
        <w:rPr>
          <w:color w:val="0F5B9B"/>
        </w:rPr>
        <w:t>Table S13. Random-pair baseline medians (distinct original-image pairs) for the three preprocessing strategies in the balanced 822-image control.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81"/>
        <w:gridCol w:w="2581"/>
        <w:gridCol w:w="2581"/>
        <w:gridCol w:w="2581"/>
      </w:tblGrid>
      <w:tr>
        <w:tc>
          <w:tcPr>
            <w:tcW w:type="dxa" w:w="2581"/>
          </w:tcPr>
          <w:p>
            <w:r>
              <w:rPr>
                <w:b/>
                <w:color w:val="0F5B9B"/>
                <w:sz w:val="14"/>
              </w:rPr>
              <w:t>Block</w:t>
            </w:r>
          </w:p>
        </w:tc>
        <w:tc>
          <w:tcPr>
            <w:tcW w:type="dxa" w:w="2581"/>
          </w:tcPr>
          <w:p>
            <w:r>
              <w:rPr>
                <w:b/>
                <w:color w:val="0F5B9B"/>
                <w:sz w:val="14"/>
              </w:rPr>
              <w:t>Direct 224×224</w:t>
            </w:r>
          </w:p>
        </w:tc>
        <w:tc>
          <w:tcPr>
            <w:tcW w:type="dxa" w:w="2581"/>
          </w:tcPr>
          <w:p>
            <w:r>
              <w:rPr>
                <w:b/>
                <w:color w:val="0F5B9B"/>
                <w:sz w:val="14"/>
              </w:rPr>
              <w:t>No padding</w:t>
            </w:r>
          </w:p>
        </w:tc>
        <w:tc>
          <w:tcPr>
            <w:tcW w:type="dxa" w:w="2581"/>
          </w:tcPr>
          <w:p>
            <w:r>
              <w:rPr>
                <w:b/>
                <w:color w:val="0F5B9B"/>
                <w:sz w:val="14"/>
              </w:rPr>
              <w:t>Letterbox</w:t>
            </w:r>
          </w:p>
        </w:tc>
      </w:tr>
      <w:tr>
        <w:trPr>
          <w:cantSplit/>
        </w:trPr>
        <w:tc>
          <w:tcPr>
            <w:tcW w:type="dxa" w:w="2581"/>
          </w:tcPr>
          <w:p>
            <w:r>
              <w:rPr>
                <w:color w:val="0F5B9B"/>
                <w:sz w:val="14"/>
              </w:rPr>
              <w:t>Block1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0.8475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0.8487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0.8922</w:t>
            </w:r>
          </w:p>
        </w:tc>
      </w:tr>
      <w:tr>
        <w:trPr>
          <w:cantSplit/>
        </w:trPr>
        <w:tc>
          <w:tcPr>
            <w:tcW w:type="dxa" w:w="2581"/>
          </w:tcPr>
          <w:p>
            <w:r>
              <w:rPr>
                <w:color w:val="0F5B9B"/>
                <w:sz w:val="14"/>
              </w:rPr>
              <w:t>Block2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0.8698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0.8611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0.9039</w:t>
            </w:r>
          </w:p>
        </w:tc>
      </w:tr>
      <w:tr>
        <w:trPr>
          <w:cantSplit/>
        </w:trPr>
        <w:tc>
          <w:tcPr>
            <w:tcW w:type="dxa" w:w="2581"/>
          </w:tcPr>
          <w:p>
            <w:r>
              <w:rPr>
                <w:color w:val="0F5B9B"/>
                <w:sz w:val="14"/>
              </w:rPr>
              <w:t>Block3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0.7892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0.7795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0.8599</w:t>
            </w:r>
          </w:p>
        </w:tc>
      </w:tr>
      <w:tr>
        <w:trPr>
          <w:cantSplit/>
        </w:trPr>
        <w:tc>
          <w:tcPr>
            <w:tcW w:type="dxa" w:w="2581"/>
          </w:tcPr>
          <w:p>
            <w:r>
              <w:rPr>
                <w:color w:val="0F5B9B"/>
                <w:sz w:val="14"/>
              </w:rPr>
              <w:t>Block4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0.6343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0.6206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0.7669</w:t>
            </w:r>
          </w:p>
        </w:tc>
      </w:tr>
      <w:tr>
        <w:trPr>
          <w:cantSplit/>
        </w:trPr>
        <w:tc>
          <w:tcPr>
            <w:tcW w:type="dxa" w:w="2581"/>
          </w:tcPr>
          <w:p>
            <w:r>
              <w:rPr>
                <w:color w:val="0F5B9B"/>
                <w:sz w:val="14"/>
              </w:rPr>
              <w:t>Block5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0.3977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0.3469</w:t>
            </w:r>
          </w:p>
        </w:tc>
        <w:tc>
          <w:tcPr>
            <w:tcW w:type="dxa" w:w="2581"/>
          </w:tcPr>
          <w:p>
            <w:r>
              <w:rPr>
                <w:color w:val="0F5B9B"/>
                <w:sz w:val="14"/>
              </w:rPr>
              <w:t>0.5235</w:t>
            </w:r>
          </w:p>
        </w:tc>
      </w:tr>
    </w:tbl>
    <w:p>
      <w:r>
        <w:rPr>
          <w:color w:val="0F5B9B"/>
        </w:rPr>
        <w:t>Random-pair cosine medians were recalculated independently for each strategy (100,000 sampled distinct-image pairs per strategy and block). All three approaches used the same 822 source images and pretrained VGG-16 weights. The letterbox control adds padding and the unpadded control changes input spatial dimensions. Neither exclusively isolates aspect-ratio distortion.</w:t>
      </w:r>
    </w:p>
    <w:sectPr w:rsidR="00FC693F" w:rsidRPr="0006063C" w:rsidSect="00034616">
      <w:pgSz w:w="11909" w:h="16834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