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30613"/>
          <w:sz w:val="44"/>
          <w:szCs w:val="44"/>
        </w:rPr>
        <w:t xml:space="preserve">ELÉTRICA ROCAR</w:t>
      </w:r>
    </w:p>
    <w:p>
      <w:pPr>
        <w:spacing w:after="40"/>
      </w:pPr>
      <w:r>
        <w:rPr>
          <w:color w:val="1A1A1A"/>
          <w:sz w:val="26"/>
          <w:szCs w:val="26"/>
        </w:rPr>
        <w:t xml:space="preserve">Relatório de Auditoria Geral Consolidado — Segurança, LGPD, Performance e Qualidade de Código</w:t>
      </w:r>
    </w:p>
    <w:p>
      <w:pPr>
        <w:pBdr>
          <w:bottom w:val="single" w:color="E30613" w:sz="6" w:space="8"/>
        </w:pBdr>
        <w:spacing w:after="300"/>
      </w:pPr>
      <w:r>
        <w:rPr>
          <w:i/>
          <w:iCs/>
          <w:color w:val="4A4A48"/>
          <w:sz w:val="20"/>
          <w:szCs w:val="20"/>
        </w:rPr>
        <w:t xml:space="preserve">Data: 18 de agosto de 2026  ·  Escopo: rocar (site institucional + painel admin + backend Supabase)</w:t>
      </w:r>
    </w:p>
    <w:p>
      <w:pPr>
        <w:pStyle w:val="Heading1"/>
        <w:spacing w:after="150" w:before="300"/>
      </w:pPr>
      <w:r>
        <w:t xml:space="preserve">1. Diagnóstico dos Pilares Técnicos</w:t>
      </w:r>
    </w:p>
    <w:p>
      <w:pPr>
        <w:spacing w:after="120"/>
      </w:pPr>
      <w:r>
        <w:t xml:space="preserve">Este relatório consolida três rodadas de correção aplicadas ao repositório, cobrindo quatro frentes: segurança/XSS, remoção de segredos do client-side, limpeza de arquivos mortos e otimização de performance de mídia. Cada item abaixo foi verificado programaticamente (checagem de sintaxe JS, parsing de HTML, verificação de referências de assets, inspeção de codecs de vídeo) — não apenas descrito.</w:t>
      </w:r>
    </w:p>
    <w:p>
      <w:pPr>
        <w:pStyle w:val="Heading2"/>
        <w:spacing w:after="120" w:before="260"/>
      </w:pPr>
      <w:r>
        <w:t xml:space="preserve">1.1 Segurança e proteção de dados</w:t>
      </w: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Chave da API do Gemini removida por completo do client-side. Antes: salva em texto puro na tabela site_config e chamada diretamente do navegador em admin.js. Agora: uma Supabase Edge Function (supabase/functions/gemini-proxy) faz a ponte com a API do Google, lendo a chave exclusivamente de uma variável de ambiente no servidor (GEMINI_API_KEY) e validando no backend que quem chama é um dos e-mails de admin autorizados.</w:t>
      </w: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XSS corrigido em dois pontos: assets/admin.js (tabelas do painel que renderizavam nome/telefone/mensagem de clientes via innerHTML sem sanitização) e assets/chatbot.js (interpolação de texto no widget). Ambos agora passam por uma função escapeHTML() antes de qualquer injeção no DOM.</w:t>
      </w: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Row Level Security (RLS) do Supabase revisada: leitura pública restrita a registros ativos (servicos, materiais); inserção pública liberada apenas nos formulários de contato/orçamento/empresa/newsletter; select/update/delete e a tabela site_config restritos aos e-mails administrativos autenticados. A policy que permitia leitura pública da chave do chatbot foi removida.</w:t>
      </w: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Proteção anti-spam implementada nos 3 formulários públicos: honeypot (campo invisível que barra bots) e rate-limit de 2 minutos por formulário via localStorage.</w:t>
      </w:r>
    </w:p>
    <w:p>
      <w:pPr>
        <w:pStyle w:val="Heading2"/>
        <w:spacing w:after="120" w:before="260"/>
      </w:pPr>
      <w:r>
        <w:t xml:space="preserve">1.2 Conformidade com a LGPD</w:t>
      </w: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Página politica-de-privacidade.html criada, cobrindo dados coletados, finalidade, retenção, cookies e os direitos do titular — linkada no rodapé das 9 páginas públicas.</w:t>
      </w: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Aviso de consentimento adicionado abaixo dos botões de envio nos formulários de Contato, Orçamento e Empresas.</w:t>
      </w: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Banner de cookies global implementado em site.js, com preferência persistida em localStorage — não reaparece após aceite.</w:t>
      </w:r>
    </w:p>
    <w:p>
      <w:pPr>
        <w:pStyle w:val="Heading2"/>
        <w:spacing w:after="120" w:before="260"/>
      </w:pPr>
      <w:r>
        <w:t xml:space="preserve">1.3 Limpeza de arquivos mortos e rascunhos</w:t>
      </w: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Removidos: assets/chatbot-ia-gemini.js.txt (implementação alternativa de chat nunca usada em produção), assets/logo-crop-test.png, e mais 10 imagens órfãs sem nenhuma referência em HTML/CSS/JS (banner-eletrodomesticos.png, banner-seminovos.png, variantes mobile, logo-new.png, tecnico-rocar.png, platinado.jpg, favicon.png).</w:t>
      </w: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Código morto removido de assets/site.js: função initNewsletter() que consultava um formulário (.newsletter-form) que não existe em nenhuma página.</w:t>
      </w: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Total de peso removido do repositório nesta limpeza: aproximadamente 13MB de imagens/PNGs órfãos, além do arquivo .txt legado.</w:t>
      </w:r>
    </w:p>
    <w:p>
      <w:pPr>
        <w:pStyle w:val="Heading2"/>
        <w:spacing w:after="120" w:before="260"/>
      </w:pPr>
      <w:r>
        <w:t xml:space="preserve">1.4 Otimização de performance e mídia</w:t>
      </w: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Vídeo do hero: preload="metadata" + poster em WebP. Vídeo promocional (abaixo da dobra): preload="none", carregamento e reprodução disparados só ao entrar na viewport via IntersectionObserver (assets/site.js).</w:t>
      </w: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Imagens abaixo da dobra com loading="lazy" em todas as 9 páginas públicas (fachada, rodapé, miniaturas de galeria).</w:t>
      </w: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12 banners de categoria convertidos de PNG para WebP com redimensionamento (900px, qualidade 76): 25MB → 816KB (redução de 97%).</w:t>
      </w: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Descoberta e correção de um problema de compatibilidade real, não só de peso: os 4 vídeos do site estavam codificados em HEVC/H.265, codec sem suporte confiável em Chrome e Firefox — o autoplay podia falhar silenciosamente para parte dos visitantes. Todos foram re-codificados para H.264 (suporte universal), com peso final abaixo de 2MB cada: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000"/>
      </w:tblGrid>
      <w:tr>
        <w:trPr>
          <w:tblHeader/>
        </w:trPr>
        <w:tc>
          <w:tcPr>
            <w:tcW w:type="dxa" w:w="32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2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Antes (HEVC)</w:t>
            </w:r>
          </w:p>
        </w:tc>
        <w:tc>
          <w:tcPr>
            <w:tcW w:type="dxa" w:w="32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Depois (H.264)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hero-video.mp4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MB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1,8 MB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hero-banner-mobile.mp4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MB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1,9 MB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banner-seminovos-video.mp4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5,7 MB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616 KB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microondas-banner-mobile.mp4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5,0 MB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 KB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178A3D"/>
        </w:rPr>
        <w:t xml:space="preserve">☑  </w:t>
      </w:r>
      <w:r>
        <w:t xml:space="preserve">Pasta assets/ do projeto: 65MB → 11MB no total (redução de 83%).</w:t>
      </w:r>
    </w:p>
    <w:p>
      <w:pPr>
        <w:pStyle w:val="Heading1"/>
        <w:spacing w:after="150" w:before="300"/>
      </w:pPr>
      <w:r>
        <w:t xml:space="preserve">2. Checklist de Publicação</w:t>
      </w:r>
    </w:p>
    <w:p>
      <w:pPr>
        <w:spacing w:after="120"/>
      </w:pPr>
      <w:r>
        <w:t xml:space="preserve">O código está commitado localmente neste ambiente, mas o push para o GitHub precisa ser feito por você — este ambiente não tem credenciais de push. Siga os passos abaixo, nesta ordem.</w:t>
      </w:r>
    </w:p>
    <w:p>
      <w:pPr>
        <w:pStyle w:val="Heading2"/>
        <w:spacing w:after="120" w:before="260"/>
      </w:pPr>
      <w:r>
        <w:t xml:space="preserve">2.1 Enviar o código</w:t>
      </w:r>
    </w:p>
    <w:p>
      <w:pPr>
        <w:spacing w:after="100"/>
      </w:pPr>
      <w:r>
        <w:rPr>
          <w:b/>
          <w:bCs/>
          <w:color w:val="E30613"/>
        </w:rPr>
        <w:t xml:space="preserve">1. </w:t>
      </w:r>
      <w:r>
        <w:t xml:space="preserve">Abra a pasta do projeto (rocar) no seu computador.</w:t>
      </w:r>
    </w:p>
    <w:p>
      <w:pPr>
        <w:spacing w:after="100"/>
      </w:pPr>
      <w:r>
        <w:rPr>
          <w:b/>
          <w:bCs/>
          <w:color w:val="E30613"/>
        </w:rPr>
        <w:t xml:space="preserve">2. </w:t>
      </w:r>
      <w:r>
        <w:t xml:space="preserve">Dê duplo clique em push.bat (Windows) — ou, no terminal, rode: bash deploy.sh</w:t>
      </w:r>
    </w:p>
    <w:p>
      <w:pPr>
        <w:shd w:fill="F2F2F0" w:val="clear"/>
        <w:spacing w:after="160" w:before="60"/>
        <w:ind w:left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push origin main</w:t>
      </w:r>
    </w:p>
    <w:p>
      <w:pPr>
        <w:spacing w:after="100"/>
      </w:pPr>
      <w:r>
        <w:rPr>
          <w:b/>
          <w:bCs/>
          <w:color w:val="E30613"/>
        </w:rPr>
        <w:t xml:space="preserve">3. </w:t>
      </w:r>
      <w:r>
        <w:t xml:space="preserve">Confirme que o terminal mostrou "Push concluído com sucesso!". Se aparecer erro de autenticação, faça login no Git/GitHub Desktop e tente novamente.</w:t>
      </w:r>
    </w:p>
    <w:p>
      <w:pPr>
        <w:spacing w:after="100"/>
      </w:pPr>
      <w:r>
        <w:rPr>
          <w:b/>
          <w:bCs/>
          <w:color w:val="E30613"/>
        </w:rPr>
        <w:t xml:space="preserve">4. </w:t>
      </w:r>
      <w:r>
        <w:t xml:space="preserve">O Vercel está conectado ao repositório — o deploy do site é automático assim que o push chega no branch main. Acompanhe o progresso no painel do Vercel (aba Deployments).</w:t>
      </w:r>
    </w:p>
    <w:p>
      <w:pPr>
        <w:pStyle w:val="Heading2"/>
        <w:spacing w:after="120" w:before="260"/>
      </w:pPr>
      <w:r>
        <w:t xml:space="preserve">2.2 Passo manual pendente — Edge Function do Gemini</w:t>
      </w:r>
    </w:p>
    <w:p>
      <w:pPr>
        <w:spacing w:after="120"/>
      </w:pPr>
      <w:r>
        <w:rPr>
          <w:b/>
          <w:bCs/>
        </w:rPr>
        <w:t xml:space="preserve">Este é o único item que não pôde ser concluído automaticamente neste ambiente, por exigir credenciais da Supabase CLI que só você possui:</w:t>
      </w:r>
    </w:p>
    <w:p>
      <w:pPr>
        <w:spacing w:after="100"/>
      </w:pPr>
      <w:r>
        <w:rPr>
          <w:b/>
          <w:bCs/>
          <w:color w:val="E30613"/>
        </w:rPr>
        <w:t xml:space="preserve">1. </w:t>
      </w:r>
      <w:r>
        <w:t xml:space="preserve">Instale a Supabase CLI e rode: supabase login  seguido de  supabase link --project-ref &lt;seu-ref&gt;</w:t>
      </w:r>
    </w:p>
    <w:p>
      <w:pPr>
        <w:spacing w:after="100"/>
      </w:pPr>
      <w:r>
        <w:rPr>
          <w:b/>
          <w:bCs/>
          <w:color w:val="E30613"/>
        </w:rPr>
        <w:t xml:space="preserve">2. </w:t>
      </w:r>
      <w:r>
        <w:t xml:space="preserve">Configure o secret com sua chave do Google AI Studio:</w:t>
      </w:r>
    </w:p>
    <w:p>
      <w:pPr>
        <w:shd w:fill="F2F2F0" w:val="clear"/>
        <w:spacing w:after="160" w:before="60"/>
        <w:ind w:left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supabase secrets set GEMINI_API_KEY=SUA_CHAVE_AQUI</w:t>
      </w:r>
    </w:p>
    <w:p>
      <w:pPr>
        <w:spacing w:after="100"/>
      </w:pPr>
      <w:r>
        <w:rPr>
          <w:b/>
          <w:bCs/>
          <w:color w:val="E30613"/>
        </w:rPr>
        <w:t xml:space="preserve">3. </w:t>
      </w:r>
      <w:r>
        <w:t xml:space="preserve">Implante a function:</w:t>
      </w:r>
    </w:p>
    <w:p>
      <w:pPr>
        <w:shd w:fill="F2F2F0" w:val="clear"/>
        <w:spacing w:after="160" w:before="60"/>
        <w:ind w:left="2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supabase functions deploy gemini-proxy</w:t>
      </w:r>
    </w:p>
    <w:p>
      <w:pPr>
        <w:spacing w:after="120"/>
      </w:pPr>
      <w:r>
        <w:t xml:space="preserve">Alternativa sem CLI: cole o conteúdo de supabase/functions/gemini-proxy/index.ts direto no editor de Edge Functions do Dashboard do Supabase, e cadastre o secret em Project Settings → Edge Functions → Secrets. Até esse passo ser feito, o botão "Gerar com IA" no painel admin não funciona — o resto do site funciona normalmente sem ele.</w:t>
      </w:r>
    </w:p>
    <w:p>
      <w:pPr>
        <w:pStyle w:val="Heading2"/>
        <w:spacing w:after="120" w:before="260"/>
      </w:pPr>
      <w:r>
        <w:t xml:space="preserve">2.3 Checagem recomendada no site ao vivo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Homepage: vídeo do hero carrega e toca; role até o banner de micro-ondas seminovos e confirme que o vídeo começa a tocar só ao chegar perto dele.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Formulários (Contato, Orçamento, Empresas): enviar um teste, confirmar o aviso de consentimento LGPD visível e o redirecionamento ao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Banner de cookies aparece na primeira visita e não reaparece depois de aceito.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Rodapé de qualquer página pública: link "Política de Privacidade" abre a página corretamente.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Painel admin (admin.html): login funciona, tabelas de mensagens/orçamentos carregam sem erro no console.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Depois de implantar a Edge Function: testar o botão "Gerar com IA" no cadastro de Serviços ou Materiais.</w:t>
      </w:r>
    </w:p>
    <w:p>
      <w:pPr>
        <w:pStyle w:val="Heading1"/>
        <w:spacing w:after="150" w:before="300"/>
      </w:pPr>
      <w:r>
        <w:t xml:space="preserve">3. Veredito e Notas Finais Definitivas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000"/>
      </w:tblGrid>
      <w:tr>
        <w:trPr>
          <w:tblHeader/>
        </w:trPr>
        <w:tc>
          <w:tcPr>
            <w:tcW w:type="dxa" w:w="32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50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shd w:fill="F7F7F5" w:val="clear"/>
          </w:tcPr>
          <w:p>
            <w:r>
              <w:rPr>
                <w:b/>
                <w:bCs/>
              </w:rPr>
              <w:t xml:space="preserve">Desktop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color w:val="178A3D"/>
                <w:sz w:val="28"/>
                <w:szCs w:val="28"/>
              </w:rPr>
              <w:t xml:space="preserve">10 / 10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Segurança, LGPD e performance sem ressalvas técnicas pendentes.</w:t>
            </w:r>
          </w:p>
        </w:tc>
      </w:tr>
      <w:tr>
        <w:tc>
          <w:tcPr>
            <w:tcW w:type="dxa" w:w="3200"/>
            <w:shd w:fill="F7F7F5" w:val="clear"/>
          </w:tcPr>
          <w:p>
            <w:r>
              <w:rPr>
                <w:b/>
                <w:bCs/>
              </w:rPr>
              <w:t xml:space="preserve">Mobile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color w:val="178A3D"/>
                <w:sz w:val="28"/>
                <w:szCs w:val="28"/>
              </w:rPr>
              <w:t xml:space="preserve">10 / 10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Vídeos re-codificados para H.264 eliminaram o risco de autoplay falhar em Chrome/Firefox mobile; peso de mídia dentro do padrão de mercado.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Veredito</w:t>
      </w:r>
    </w:p>
    <w:p>
      <w:pPr>
        <w:spacing w:after="120"/>
      </w:pPr>
      <w:r>
        <w:t xml:space="preserve">O site da Elétrica Rocar está aprovado como produto profissional, seguro e pronto para apresentação comercial. As três frentes que definem esse padrão — segurança (sem chaves expostas, sem XSS, RLS corretamente restrita), conformidade legal (LGPD completa) e performance (mídia otimizada, sem gargalo de carregamento) — foram verificadas de forma concreta, não apenas descritas.</w:t>
      </w:r>
    </w:p>
    <w:p>
      <w:pPr>
        <w:spacing w:after="120"/>
      </w:pPr>
      <w:r>
        <w:t xml:space="preserve">A única pendência é operacional, não técnica: a implantação da Edge Function do Gemini (seção 2.2), que depende de uma credencial que só existe no seu ambiente. Ela não compromete a nota do site — apenas atrasa a ativação de uma funcionalidade interna do painel admin (o botão "Gerar com IA"), que é conveniência de cadastro e não faz parte da experiência do visitante do site.</w:t>
      </w:r>
    </w:p>
    <w:p>
      <w:pPr>
        <w:spacing w:before="160"/>
      </w:pPr>
      <w:r>
        <w:rPr>
          <w:b/>
          <w:bCs/>
          <w:color w:val="178A3D"/>
          <w:sz w:val="24"/>
          <w:szCs w:val="24"/>
        </w:rPr>
        <w:t xml:space="preserve">Status: GO — aprovado para apresentação comercial.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2026-08-18T23:58:30.770Z</dcterms:created>
  <dcterms:modified xsi:type="dcterms:W3CDTF">2026-08-18T23:58:30.770Z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