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151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Taller de Programación</w:t>
      </w:r>
    </w:p>
    <w:p w:rsidR="00000000" w:rsidDel="00000000" w:rsidP="00000000" w:rsidRDefault="00000000" w:rsidRPr="00000000" w14:paraId="00000005">
      <w:pPr>
        <w:spacing w:before="240" w:lineRule="auto"/>
        <w:jc w:val="center"/>
        <w:rPr>
          <w:sz w:val="26"/>
          <w:szCs w:val="26"/>
        </w:rPr>
      </w:pPr>
      <w:r w:rsidDel="00000000" w:rsidR="00000000" w:rsidRPr="00000000">
        <w:rPr>
          <w:rtl w:val="0"/>
        </w:rPr>
      </w:r>
    </w:p>
    <w:p w:rsidR="00000000" w:rsidDel="00000000" w:rsidP="00000000" w:rsidRDefault="00000000" w:rsidRPr="00000000" w14:paraId="00000006">
      <w:pPr>
        <w:spacing w:before="240" w:lineRule="auto"/>
        <w:jc w:val="center"/>
        <w:rPr>
          <w:sz w:val="26"/>
          <w:szCs w:val="26"/>
        </w:rPr>
      </w:pPr>
      <w:r w:rsidDel="00000000" w:rsidR="00000000" w:rsidRPr="00000000">
        <w:rPr>
          <w:sz w:val="26"/>
          <w:szCs w:val="26"/>
          <w:rtl w:val="0"/>
        </w:rPr>
        <w:t xml:space="preserve">Maestría en Economía Aplicada</w:t>
      </w:r>
    </w:p>
    <w:p w:rsidR="00000000" w:rsidDel="00000000" w:rsidP="00000000" w:rsidRDefault="00000000" w:rsidRPr="00000000" w14:paraId="00000007">
      <w:pPr>
        <w:spacing w:before="240" w:lineRule="auto"/>
        <w:jc w:val="center"/>
        <w:rPr>
          <w:sz w:val="26"/>
          <w:szCs w:val="26"/>
        </w:rPr>
      </w:pPr>
      <w:r w:rsidDel="00000000" w:rsidR="00000000" w:rsidRPr="00000000">
        <w:rPr>
          <w:sz w:val="26"/>
          <w:szCs w:val="26"/>
          <w:rtl w:val="0"/>
        </w:rPr>
        <w:t xml:space="preserve">Tercer trimestre 2025</w:t>
      </w:r>
    </w:p>
    <w:p w:rsidR="00000000" w:rsidDel="00000000" w:rsidP="00000000" w:rsidRDefault="00000000" w:rsidRPr="00000000" w14:paraId="00000008">
      <w:pPr>
        <w:jc w:val="center"/>
        <w:rPr>
          <w:sz w:val="26"/>
          <w:szCs w:val="26"/>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Trabajo Práctico N° 1</w:t>
      </w:r>
    </w:p>
    <w:p w:rsidR="00000000" w:rsidDel="00000000" w:rsidP="00000000" w:rsidRDefault="00000000" w:rsidRPr="00000000" w14:paraId="0000000B">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sz w:val="24"/>
          <w:szCs w:val="24"/>
        </w:rPr>
      </w:pPr>
      <w:r w:rsidDel="00000000" w:rsidR="00000000" w:rsidRPr="00000000">
        <w:rPr>
          <w:b w:val="1"/>
          <w:sz w:val="24"/>
          <w:szCs w:val="24"/>
          <w:rtl w:val="0"/>
        </w:rPr>
        <w:t xml:space="preserve">Docente: </w:t>
      </w:r>
      <w:r w:rsidDel="00000000" w:rsidR="00000000" w:rsidRPr="00000000">
        <w:rPr>
          <w:sz w:val="24"/>
          <w:szCs w:val="24"/>
          <w:rtl w:val="0"/>
        </w:rPr>
        <w:t xml:space="preserve">Noelia Romero</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Alumnos: </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Jorge Eduardo Bolaños Gamarra</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Mario Antonio Valdivia Reyes</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Héctor Sebastián San Martin</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Introducción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La Encuesta Permanente de Hogares (EPH) es un programa nacional desarrollado por el Instituto Nacional de Estadística y Censos (INDEC), junto con las direcciones provinciales de estadística, para relevar información sobre las características demográficas y socioeconómicas de la población (INDEC, 2025b). Permite recopilar información exhaustiva sobre aspectos como los ingresos, situación laboral, desigualdad, brechas, etc., con lo cual brinda una radiografía sobre el bienestar económico y la distribución de recursos en la población urbana de Argentina.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El presente documento está estructurado en tres partes. En la primera se describe el trabajo de preparación de los datos, selección de variables y limpieza, haciendo también mención a la identificación de las personas pobres bajo la metodología de INDEC. En la segunda parte se hace un análisis exploratorio de los datos, considerando las variables relevantes. En la tercera parte se hace la identificación de los hogares y personas pobres, generando variables y visualizaciones adecuadas.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1. Limpieza base Encuesta Permanente de Hogares (EPH)</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highlight w:val="white"/>
          <w:rtl w:val="0"/>
        </w:rPr>
        <w:t xml:space="preserve">El INDEC identifica a las personas pobres en Argentina principalmente </w:t>
      </w:r>
      <w:r w:rsidDel="00000000" w:rsidR="00000000" w:rsidRPr="00000000">
        <w:rPr>
          <w:rtl w:val="0"/>
        </w:rPr>
        <w:t xml:space="preserve">a través de la medición monetaria, que compara los ingresos de los hogares con el costo de la Canasta Básica Total (CBT). Se considera que un hogar es pobre si su ingreso total no cubre la CBT, que incluye alimentos, indumentaria, transporte, vivienda, y otros servicios básicos.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En esta investigación, estamos utilizando las bases de datos de la Encuesta Permanente de Hogares (EPH) que lleva a cabo el Instituto Nacional de Estadística y Censos (INDEC) de Argentina (INDEC, 2025a), la cual permite conocer las características sociodemográficas y socioeconómicas de la población. En este caso, utilizamos los periodos correspondientes al primer trimestre de los años 2005 y 2025.</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Elegimos para el análisis la región Pampeana, la más poblada del país, en la que se incluyen los centros urbanos con mayor relevancia en términos poblacionales. Las variables seleccionadas para analizar son las que se menciona a continuación: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b w:val="1"/>
          <w:rtl w:val="0"/>
        </w:rPr>
        <w:t xml:space="preserve">Tabla 1. Variables seleccionadas para el análisis</w:t>
      </w:r>
      <w:r w:rsidDel="00000000" w:rsidR="00000000" w:rsidRPr="00000000">
        <w:rPr>
          <w:rtl w:val="0"/>
        </w:rPr>
      </w:r>
    </w:p>
    <w:tbl>
      <w:tblPr>
        <w:tblStyle w:val="Table1"/>
        <w:tblW w:w="901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05"/>
        <w:gridCol w:w="7110"/>
        <w:tblGridChange w:id="0">
          <w:tblGrid>
            <w:gridCol w:w="1905"/>
            <w:gridCol w:w="7110"/>
          </w:tblGrid>
        </w:tblGridChange>
      </w:tblGrid>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1">
            <w:pPr>
              <w:spacing w:line="120" w:lineRule="auto"/>
              <w:jc w:val="center"/>
              <w:rPr>
                <w:b w:val="1"/>
                <w:sz w:val="18"/>
                <w:szCs w:val="18"/>
              </w:rPr>
            </w:pPr>
            <w:r w:rsidDel="00000000" w:rsidR="00000000" w:rsidRPr="00000000">
              <w:rPr>
                <w:b w:val="1"/>
                <w:sz w:val="18"/>
                <w:szCs w:val="18"/>
                <w:rtl w:val="0"/>
              </w:rPr>
              <w:t xml:space="preserve">Variable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2">
            <w:pPr>
              <w:spacing w:line="120" w:lineRule="auto"/>
              <w:jc w:val="center"/>
              <w:rPr>
                <w:b w:val="1"/>
                <w:sz w:val="18"/>
                <w:szCs w:val="18"/>
              </w:rPr>
            </w:pPr>
            <w:r w:rsidDel="00000000" w:rsidR="00000000" w:rsidRPr="00000000">
              <w:rPr>
                <w:b w:val="1"/>
                <w:sz w:val="18"/>
                <w:szCs w:val="18"/>
                <w:rtl w:val="0"/>
              </w:rPr>
              <w:t xml:space="preserve">Descripción</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3">
            <w:pPr>
              <w:spacing w:line="120" w:lineRule="auto"/>
              <w:jc w:val="both"/>
              <w:rPr>
                <w:b w:val="1"/>
                <w:sz w:val="18"/>
                <w:szCs w:val="18"/>
              </w:rPr>
            </w:pPr>
            <w:r w:rsidDel="00000000" w:rsidR="00000000" w:rsidRPr="00000000">
              <w:rPr>
                <w:b w:val="1"/>
                <w:sz w:val="18"/>
                <w:szCs w:val="18"/>
                <w:rtl w:val="0"/>
              </w:rPr>
              <w:t xml:space="preserve">CODUSU</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4">
            <w:pPr>
              <w:spacing w:line="120" w:lineRule="auto"/>
              <w:jc w:val="both"/>
              <w:rPr>
                <w:sz w:val="18"/>
                <w:szCs w:val="18"/>
              </w:rPr>
            </w:pPr>
            <w:r w:rsidDel="00000000" w:rsidR="00000000" w:rsidRPr="00000000">
              <w:rPr>
                <w:sz w:val="18"/>
                <w:szCs w:val="18"/>
                <w:rtl w:val="0"/>
              </w:rPr>
              <w:t xml:space="preserve">Código para distinguir VIVIENDAS</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spacing w:line="120" w:lineRule="auto"/>
              <w:jc w:val="both"/>
              <w:rPr>
                <w:b w:val="1"/>
                <w:sz w:val="18"/>
                <w:szCs w:val="18"/>
              </w:rPr>
            </w:pPr>
            <w:r w:rsidDel="00000000" w:rsidR="00000000" w:rsidRPr="00000000">
              <w:rPr>
                <w:b w:val="1"/>
                <w:sz w:val="18"/>
                <w:szCs w:val="18"/>
                <w:rtl w:val="0"/>
              </w:rPr>
              <w:t xml:space="preserve">NRO_HOGAR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spacing w:line="120" w:lineRule="auto"/>
              <w:jc w:val="both"/>
              <w:rPr>
                <w:sz w:val="18"/>
                <w:szCs w:val="18"/>
              </w:rPr>
            </w:pPr>
            <w:r w:rsidDel="00000000" w:rsidR="00000000" w:rsidRPr="00000000">
              <w:rPr>
                <w:sz w:val="18"/>
                <w:szCs w:val="18"/>
                <w:rtl w:val="0"/>
              </w:rPr>
              <w:t xml:space="preserve">Código para distinguir HOGARES</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spacing w:line="120" w:lineRule="auto"/>
              <w:jc w:val="both"/>
              <w:rPr>
                <w:b w:val="1"/>
                <w:sz w:val="18"/>
                <w:szCs w:val="18"/>
              </w:rPr>
            </w:pPr>
            <w:r w:rsidDel="00000000" w:rsidR="00000000" w:rsidRPr="00000000">
              <w:rPr>
                <w:b w:val="1"/>
                <w:sz w:val="18"/>
                <w:szCs w:val="18"/>
                <w:rtl w:val="0"/>
              </w:rPr>
              <w:t xml:space="preserve">COMPONENTE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8">
            <w:pPr>
              <w:spacing w:line="120" w:lineRule="auto"/>
              <w:jc w:val="both"/>
              <w:rPr>
                <w:sz w:val="18"/>
                <w:szCs w:val="18"/>
              </w:rPr>
            </w:pPr>
            <w:r w:rsidDel="00000000" w:rsidR="00000000" w:rsidRPr="00000000">
              <w:rPr>
                <w:sz w:val="18"/>
                <w:szCs w:val="18"/>
                <w:rtl w:val="0"/>
              </w:rPr>
              <w:t xml:space="preserve">Nº de orden que se asigna a las personas que conforman cada hogar de la vivienda</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9">
            <w:pPr>
              <w:spacing w:line="120" w:lineRule="auto"/>
              <w:jc w:val="both"/>
              <w:rPr>
                <w:b w:val="1"/>
                <w:sz w:val="18"/>
                <w:szCs w:val="18"/>
              </w:rPr>
            </w:pPr>
            <w:r w:rsidDel="00000000" w:rsidR="00000000" w:rsidRPr="00000000">
              <w:rPr>
                <w:b w:val="1"/>
                <w:sz w:val="18"/>
                <w:szCs w:val="18"/>
                <w:rtl w:val="0"/>
              </w:rPr>
              <w:t xml:space="preserve">CH04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spacing w:line="120" w:lineRule="auto"/>
              <w:jc w:val="both"/>
              <w:rPr>
                <w:sz w:val="18"/>
                <w:szCs w:val="18"/>
              </w:rPr>
            </w:pPr>
            <w:r w:rsidDel="00000000" w:rsidR="00000000" w:rsidRPr="00000000">
              <w:rPr>
                <w:sz w:val="18"/>
                <w:szCs w:val="18"/>
                <w:rtl w:val="0"/>
              </w:rPr>
              <w:t xml:space="preserve">Sexo del miembro del hogar (1 = varón, 2 = mujer)</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spacing w:line="120" w:lineRule="auto"/>
              <w:jc w:val="both"/>
              <w:rPr>
                <w:b w:val="1"/>
                <w:sz w:val="18"/>
                <w:szCs w:val="18"/>
              </w:rPr>
            </w:pPr>
            <w:r w:rsidDel="00000000" w:rsidR="00000000" w:rsidRPr="00000000">
              <w:rPr>
                <w:b w:val="1"/>
                <w:sz w:val="18"/>
                <w:szCs w:val="18"/>
                <w:rtl w:val="0"/>
              </w:rPr>
              <w:t xml:space="preserve">CH06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C">
            <w:pPr>
              <w:spacing w:line="120" w:lineRule="auto"/>
              <w:jc w:val="both"/>
              <w:rPr>
                <w:sz w:val="18"/>
                <w:szCs w:val="18"/>
              </w:rPr>
            </w:pPr>
            <w:r w:rsidDel="00000000" w:rsidR="00000000" w:rsidRPr="00000000">
              <w:rPr>
                <w:sz w:val="18"/>
                <w:szCs w:val="18"/>
                <w:rtl w:val="0"/>
              </w:rPr>
              <w:t xml:space="preserve">Edad</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D">
            <w:pPr>
              <w:spacing w:line="120" w:lineRule="auto"/>
              <w:jc w:val="both"/>
              <w:rPr>
                <w:b w:val="1"/>
                <w:sz w:val="18"/>
                <w:szCs w:val="18"/>
              </w:rPr>
            </w:pPr>
            <w:r w:rsidDel="00000000" w:rsidR="00000000" w:rsidRPr="00000000">
              <w:rPr>
                <w:b w:val="1"/>
                <w:sz w:val="18"/>
                <w:szCs w:val="18"/>
                <w:rtl w:val="0"/>
              </w:rPr>
              <w:t xml:space="preserve">CH07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E">
            <w:pPr>
              <w:spacing w:line="120" w:lineRule="auto"/>
              <w:jc w:val="both"/>
              <w:rPr>
                <w:sz w:val="18"/>
                <w:szCs w:val="18"/>
              </w:rPr>
            </w:pPr>
            <w:r w:rsidDel="00000000" w:rsidR="00000000" w:rsidRPr="00000000">
              <w:rPr>
                <w:sz w:val="18"/>
                <w:szCs w:val="18"/>
                <w:rtl w:val="0"/>
              </w:rPr>
              <w:t xml:space="preserve">Estado Civil</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spacing w:line="120" w:lineRule="auto"/>
              <w:jc w:val="both"/>
              <w:rPr>
                <w:b w:val="1"/>
                <w:sz w:val="18"/>
                <w:szCs w:val="18"/>
              </w:rPr>
            </w:pPr>
            <w:r w:rsidDel="00000000" w:rsidR="00000000" w:rsidRPr="00000000">
              <w:rPr>
                <w:b w:val="1"/>
                <w:sz w:val="18"/>
                <w:szCs w:val="18"/>
                <w:rtl w:val="0"/>
              </w:rPr>
              <w:t xml:space="preserve">CH08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spacing w:line="120" w:lineRule="auto"/>
              <w:jc w:val="both"/>
              <w:rPr>
                <w:sz w:val="18"/>
                <w:szCs w:val="18"/>
              </w:rPr>
            </w:pPr>
            <w:r w:rsidDel="00000000" w:rsidR="00000000" w:rsidRPr="00000000">
              <w:rPr>
                <w:sz w:val="18"/>
                <w:szCs w:val="18"/>
                <w:rtl w:val="0"/>
              </w:rPr>
              <w:t xml:space="preserve">Posee cobertura médica</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1">
            <w:pPr>
              <w:spacing w:line="120" w:lineRule="auto"/>
              <w:jc w:val="both"/>
              <w:rPr>
                <w:b w:val="1"/>
                <w:sz w:val="18"/>
                <w:szCs w:val="18"/>
              </w:rPr>
            </w:pPr>
            <w:r w:rsidDel="00000000" w:rsidR="00000000" w:rsidRPr="00000000">
              <w:rPr>
                <w:b w:val="1"/>
                <w:sz w:val="18"/>
                <w:szCs w:val="18"/>
                <w:rtl w:val="0"/>
              </w:rPr>
              <w:t xml:space="preserve">NIVEL_ED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2">
            <w:pPr>
              <w:spacing w:line="120" w:lineRule="auto"/>
              <w:jc w:val="both"/>
              <w:rPr>
                <w:sz w:val="18"/>
                <w:szCs w:val="18"/>
              </w:rPr>
            </w:pPr>
            <w:r w:rsidDel="00000000" w:rsidR="00000000" w:rsidRPr="00000000">
              <w:rPr>
                <w:sz w:val="18"/>
                <w:szCs w:val="18"/>
                <w:rtl w:val="0"/>
              </w:rPr>
              <w:t xml:space="preserve">Nivel educativo más alto alcanzado (sin considerar si está completo o no)</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spacing w:line="120" w:lineRule="auto"/>
              <w:jc w:val="both"/>
              <w:rPr>
                <w:b w:val="1"/>
                <w:sz w:val="18"/>
                <w:szCs w:val="18"/>
              </w:rPr>
            </w:pPr>
            <w:r w:rsidDel="00000000" w:rsidR="00000000" w:rsidRPr="00000000">
              <w:rPr>
                <w:b w:val="1"/>
                <w:sz w:val="18"/>
                <w:szCs w:val="18"/>
                <w:rtl w:val="0"/>
              </w:rPr>
              <w:t xml:space="preserve">ESTADO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spacing w:line="120" w:lineRule="auto"/>
              <w:jc w:val="both"/>
              <w:rPr>
                <w:sz w:val="18"/>
                <w:szCs w:val="18"/>
              </w:rPr>
            </w:pPr>
            <w:r w:rsidDel="00000000" w:rsidR="00000000" w:rsidRPr="00000000">
              <w:rPr>
                <w:sz w:val="18"/>
                <w:szCs w:val="18"/>
                <w:rtl w:val="0"/>
              </w:rPr>
              <w:t xml:space="preserve">Condición de actividad: ocupado, desocupado, inactivo</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spacing w:line="120" w:lineRule="auto"/>
              <w:jc w:val="both"/>
              <w:rPr>
                <w:b w:val="1"/>
                <w:sz w:val="18"/>
                <w:szCs w:val="18"/>
              </w:rPr>
            </w:pPr>
            <w:r w:rsidDel="00000000" w:rsidR="00000000" w:rsidRPr="00000000">
              <w:rPr>
                <w:b w:val="1"/>
                <w:sz w:val="18"/>
                <w:szCs w:val="18"/>
                <w:rtl w:val="0"/>
              </w:rPr>
              <w:t xml:space="preserve">CAT_INAC</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spacing w:line="120" w:lineRule="auto"/>
              <w:jc w:val="both"/>
              <w:rPr>
                <w:sz w:val="18"/>
                <w:szCs w:val="18"/>
              </w:rPr>
            </w:pPr>
            <w:r w:rsidDel="00000000" w:rsidR="00000000" w:rsidRPr="00000000">
              <w:rPr>
                <w:sz w:val="18"/>
                <w:szCs w:val="18"/>
                <w:rtl w:val="0"/>
              </w:rPr>
              <w:t xml:space="preserve">Categoría dentro de los inactivos (jubilado/a, estudiante, ama de casa, etc.)</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spacing w:line="120" w:lineRule="auto"/>
              <w:jc w:val="both"/>
              <w:rPr>
                <w:b w:val="1"/>
                <w:sz w:val="18"/>
                <w:szCs w:val="18"/>
              </w:rPr>
            </w:pPr>
            <w:r w:rsidDel="00000000" w:rsidR="00000000" w:rsidRPr="00000000">
              <w:rPr>
                <w:b w:val="1"/>
                <w:sz w:val="18"/>
                <w:szCs w:val="18"/>
                <w:rtl w:val="0"/>
              </w:rPr>
              <w:t xml:space="preserve">ITF</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8">
            <w:pPr>
              <w:spacing w:line="120" w:lineRule="auto"/>
              <w:jc w:val="both"/>
              <w:rPr>
                <w:sz w:val="18"/>
                <w:szCs w:val="18"/>
              </w:rPr>
            </w:pPr>
            <w:r w:rsidDel="00000000" w:rsidR="00000000" w:rsidRPr="00000000">
              <w:rPr>
                <w:sz w:val="18"/>
                <w:szCs w:val="18"/>
                <w:rtl w:val="0"/>
              </w:rPr>
              <w:t xml:space="preserve">Monto de ingreso total familiar</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spacing w:line="120" w:lineRule="auto"/>
              <w:jc w:val="both"/>
              <w:rPr>
                <w:b w:val="1"/>
                <w:sz w:val="18"/>
                <w:szCs w:val="18"/>
              </w:rPr>
            </w:pPr>
            <w:r w:rsidDel="00000000" w:rsidR="00000000" w:rsidRPr="00000000">
              <w:rPr>
                <w:b w:val="1"/>
                <w:sz w:val="18"/>
                <w:szCs w:val="18"/>
                <w:rtl w:val="0"/>
              </w:rPr>
              <w:t xml:space="preserve">IPCF</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spacing w:line="120" w:lineRule="auto"/>
              <w:jc w:val="both"/>
              <w:rPr>
                <w:sz w:val="18"/>
                <w:szCs w:val="18"/>
              </w:rPr>
            </w:pPr>
            <w:r w:rsidDel="00000000" w:rsidR="00000000" w:rsidRPr="00000000">
              <w:rPr>
                <w:sz w:val="18"/>
                <w:szCs w:val="18"/>
                <w:rtl w:val="0"/>
              </w:rPr>
              <w:t xml:space="preserve">Ingreso per cápita familiar (en pesos corrientes del trimestre)</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spacing w:line="120" w:lineRule="auto"/>
              <w:jc w:val="both"/>
              <w:rPr>
                <w:b w:val="1"/>
                <w:sz w:val="18"/>
                <w:szCs w:val="18"/>
              </w:rPr>
            </w:pPr>
            <w:r w:rsidDel="00000000" w:rsidR="00000000" w:rsidRPr="00000000">
              <w:rPr>
                <w:b w:val="1"/>
                <w:sz w:val="18"/>
                <w:szCs w:val="18"/>
                <w:rtl w:val="0"/>
              </w:rPr>
              <w:t xml:space="preserve">P21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spacing w:line="120" w:lineRule="auto"/>
              <w:jc w:val="both"/>
              <w:rPr>
                <w:sz w:val="18"/>
                <w:szCs w:val="18"/>
              </w:rPr>
            </w:pPr>
            <w:r w:rsidDel="00000000" w:rsidR="00000000" w:rsidRPr="00000000">
              <w:rPr>
                <w:sz w:val="18"/>
                <w:szCs w:val="18"/>
                <w:rtl w:val="0"/>
              </w:rPr>
              <w:t xml:space="preserve">Monto Ingreso laboral de la ocupación principal</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spacing w:line="120" w:lineRule="auto"/>
              <w:jc w:val="both"/>
              <w:rPr>
                <w:b w:val="1"/>
                <w:sz w:val="18"/>
                <w:szCs w:val="18"/>
              </w:rPr>
            </w:pPr>
            <w:r w:rsidDel="00000000" w:rsidR="00000000" w:rsidRPr="00000000">
              <w:rPr>
                <w:b w:val="1"/>
                <w:sz w:val="18"/>
                <w:szCs w:val="18"/>
                <w:rtl w:val="0"/>
              </w:rPr>
              <w:t xml:space="preserve">P47T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spacing w:line="120" w:lineRule="auto"/>
              <w:jc w:val="both"/>
              <w:rPr>
                <w:sz w:val="18"/>
                <w:szCs w:val="18"/>
              </w:rPr>
            </w:pPr>
            <w:r w:rsidDel="00000000" w:rsidR="00000000" w:rsidRPr="00000000">
              <w:rPr>
                <w:sz w:val="18"/>
                <w:szCs w:val="18"/>
                <w:rtl w:val="0"/>
              </w:rPr>
              <w:t xml:space="preserve">Monto Ingreso total individual (suma de todos los ingresos personales)</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line="120" w:lineRule="auto"/>
              <w:jc w:val="both"/>
              <w:rPr>
                <w:b w:val="1"/>
                <w:sz w:val="18"/>
                <w:szCs w:val="18"/>
              </w:rPr>
            </w:pPr>
            <w:r w:rsidDel="00000000" w:rsidR="00000000" w:rsidRPr="00000000">
              <w:rPr>
                <w:b w:val="1"/>
                <w:sz w:val="18"/>
                <w:szCs w:val="18"/>
                <w:rtl w:val="0"/>
              </w:rPr>
              <w:t xml:space="preserve">PP3E_TOT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spacing w:line="120" w:lineRule="auto"/>
              <w:jc w:val="both"/>
              <w:rPr>
                <w:sz w:val="18"/>
                <w:szCs w:val="18"/>
              </w:rPr>
            </w:pPr>
            <w:r w:rsidDel="00000000" w:rsidR="00000000" w:rsidRPr="00000000">
              <w:rPr>
                <w:sz w:val="18"/>
                <w:szCs w:val="18"/>
                <w:rtl w:val="0"/>
              </w:rPr>
              <w:t xml:space="preserve">Horas totales trabajadas en la ocupación principal</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spacing w:line="120" w:lineRule="auto"/>
              <w:jc w:val="both"/>
              <w:rPr>
                <w:b w:val="1"/>
                <w:sz w:val="18"/>
                <w:szCs w:val="18"/>
              </w:rPr>
            </w:pPr>
            <w:r w:rsidDel="00000000" w:rsidR="00000000" w:rsidRPr="00000000">
              <w:rPr>
                <w:b w:val="1"/>
                <w:sz w:val="18"/>
                <w:szCs w:val="18"/>
                <w:rtl w:val="0"/>
              </w:rPr>
              <w:t xml:space="preserve">PP04A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spacing w:line="120" w:lineRule="auto"/>
              <w:jc w:val="both"/>
              <w:rPr>
                <w:sz w:val="18"/>
                <w:szCs w:val="18"/>
              </w:rPr>
            </w:pPr>
            <w:r w:rsidDel="00000000" w:rsidR="00000000" w:rsidRPr="00000000">
              <w:rPr>
                <w:sz w:val="18"/>
                <w:szCs w:val="18"/>
                <w:rtl w:val="0"/>
              </w:rPr>
              <w:t xml:space="preserve">Categoría ocupacional (patrón, cuenta propia, asalariado, etc.)</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spacing w:line="120" w:lineRule="auto"/>
              <w:jc w:val="both"/>
              <w:rPr>
                <w:b w:val="1"/>
                <w:sz w:val="18"/>
                <w:szCs w:val="18"/>
              </w:rPr>
            </w:pPr>
            <w:r w:rsidDel="00000000" w:rsidR="00000000" w:rsidRPr="00000000">
              <w:rPr>
                <w:b w:val="1"/>
                <w:sz w:val="18"/>
                <w:szCs w:val="18"/>
                <w:rtl w:val="0"/>
              </w:rPr>
              <w:t xml:space="preserve">PP03D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spacing w:line="120" w:lineRule="auto"/>
              <w:jc w:val="both"/>
              <w:rPr>
                <w:sz w:val="18"/>
                <w:szCs w:val="18"/>
              </w:rPr>
            </w:pPr>
            <w:r w:rsidDel="00000000" w:rsidR="00000000" w:rsidRPr="00000000">
              <w:rPr>
                <w:sz w:val="18"/>
                <w:szCs w:val="18"/>
                <w:rtl w:val="0"/>
              </w:rPr>
              <w:t xml:space="preserve">Cantidad de ocupaciones</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spacing w:line="120" w:lineRule="auto"/>
              <w:jc w:val="both"/>
              <w:rPr>
                <w:b w:val="1"/>
                <w:sz w:val="18"/>
                <w:szCs w:val="18"/>
              </w:rPr>
            </w:pPr>
            <w:r w:rsidDel="00000000" w:rsidR="00000000" w:rsidRPr="00000000">
              <w:rPr>
                <w:b w:val="1"/>
                <w:sz w:val="18"/>
                <w:szCs w:val="18"/>
                <w:rtl w:val="0"/>
              </w:rPr>
              <w:t xml:space="preserve">DECIFR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spacing w:line="120" w:lineRule="auto"/>
              <w:jc w:val="both"/>
              <w:rPr>
                <w:sz w:val="18"/>
                <w:szCs w:val="18"/>
              </w:rPr>
            </w:pPr>
            <w:r w:rsidDel="00000000" w:rsidR="00000000" w:rsidRPr="00000000">
              <w:rPr>
                <w:sz w:val="18"/>
                <w:szCs w:val="18"/>
                <w:rtl w:val="0"/>
              </w:rPr>
              <w:t xml:space="preserve">Nº de decil de ingreso total familiar del total EPH</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spacing w:line="120" w:lineRule="auto"/>
              <w:jc w:val="both"/>
              <w:rPr>
                <w:b w:val="1"/>
                <w:sz w:val="18"/>
                <w:szCs w:val="18"/>
              </w:rPr>
            </w:pPr>
            <w:r w:rsidDel="00000000" w:rsidR="00000000" w:rsidRPr="00000000">
              <w:rPr>
                <w:b w:val="1"/>
                <w:sz w:val="18"/>
                <w:szCs w:val="18"/>
                <w:rtl w:val="0"/>
              </w:rPr>
              <w:t xml:space="preserve">CH09</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8">
            <w:pPr>
              <w:spacing w:line="120" w:lineRule="auto"/>
              <w:jc w:val="both"/>
              <w:rPr>
                <w:sz w:val="18"/>
                <w:szCs w:val="18"/>
              </w:rPr>
            </w:pPr>
            <w:r w:rsidDel="00000000" w:rsidR="00000000" w:rsidRPr="00000000">
              <w:rPr>
                <w:sz w:val="18"/>
                <w:szCs w:val="18"/>
                <w:rtl w:val="0"/>
              </w:rPr>
              <w:t xml:space="preserve">Sabe leer o escribir</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spacing w:line="120" w:lineRule="auto"/>
              <w:jc w:val="both"/>
              <w:rPr>
                <w:b w:val="1"/>
                <w:sz w:val="18"/>
                <w:szCs w:val="18"/>
              </w:rPr>
            </w:pPr>
            <w:r w:rsidDel="00000000" w:rsidR="00000000" w:rsidRPr="00000000">
              <w:rPr>
                <w:b w:val="1"/>
                <w:sz w:val="18"/>
                <w:szCs w:val="18"/>
                <w:rtl w:val="0"/>
              </w:rPr>
              <w:t xml:space="preserve">REGIÓN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spacing w:line="120" w:lineRule="auto"/>
              <w:jc w:val="both"/>
              <w:rPr>
                <w:sz w:val="18"/>
                <w:szCs w:val="18"/>
              </w:rPr>
            </w:pPr>
            <w:r w:rsidDel="00000000" w:rsidR="00000000" w:rsidRPr="00000000">
              <w:rPr>
                <w:sz w:val="18"/>
                <w:szCs w:val="18"/>
                <w:rtl w:val="0"/>
              </w:rPr>
              <w:t xml:space="preserve">Región geográfica (PAMPEANA)</w:t>
            </w:r>
          </w:p>
        </w:tc>
      </w:tr>
      <w:tr>
        <w:trPr>
          <w:cantSplit w:val="0"/>
          <w:trHeight w:val="266.982421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spacing w:line="120" w:lineRule="auto"/>
              <w:jc w:val="both"/>
              <w:rPr>
                <w:b w:val="1"/>
                <w:sz w:val="18"/>
                <w:szCs w:val="18"/>
              </w:rPr>
            </w:pPr>
            <w:r w:rsidDel="00000000" w:rsidR="00000000" w:rsidRPr="00000000">
              <w:rPr>
                <w:b w:val="1"/>
                <w:sz w:val="18"/>
                <w:szCs w:val="18"/>
                <w:rtl w:val="0"/>
              </w:rPr>
              <w:t xml:space="preserve">ANIO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spacing w:line="120" w:lineRule="auto"/>
              <w:jc w:val="both"/>
              <w:rPr>
                <w:sz w:val="18"/>
                <w:szCs w:val="18"/>
              </w:rPr>
            </w:pPr>
            <w:r w:rsidDel="00000000" w:rsidR="00000000" w:rsidRPr="00000000">
              <w:rPr>
                <w:sz w:val="18"/>
                <w:szCs w:val="18"/>
                <w:rtl w:val="0"/>
              </w:rPr>
              <w:t xml:space="preserve">Año del relevamiento</w:t>
            </w:r>
          </w:p>
        </w:tc>
      </w:tr>
    </w:tbl>
    <w:p w:rsidR="00000000" w:rsidDel="00000000" w:rsidP="00000000" w:rsidRDefault="00000000" w:rsidRPr="00000000" w14:paraId="0000004D">
      <w:pPr>
        <w:jc w:val="both"/>
        <w:rPr>
          <w:sz w:val="18"/>
          <w:szCs w:val="18"/>
        </w:rPr>
      </w:pPr>
      <w:r w:rsidDel="00000000" w:rsidR="00000000" w:rsidRPr="00000000">
        <w:rPr>
          <w:i w:val="1"/>
          <w:sz w:val="18"/>
          <w:szCs w:val="18"/>
          <w:rtl w:val="0"/>
        </w:rPr>
        <w:t xml:space="preserve">Nota</w:t>
      </w:r>
      <w:r w:rsidDel="00000000" w:rsidR="00000000" w:rsidRPr="00000000">
        <w:rPr>
          <w:sz w:val="18"/>
          <w:szCs w:val="18"/>
          <w:rtl w:val="0"/>
        </w:rPr>
        <w:t xml:space="preserve">. Elaboración propia, 2025.</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Es importante comentar la cantidad de observaciones que tenemos para cada año: de las 47.030 observaciones de 2005, 14.651 de ellas corresponden a Pampeana, mientras que de las 45.425 observaciones de 2025, solo 4.746 se refieren a dicha región. Eso quiere decir que en este análisis estamos contando con 19.397 observaciones entre los trimestres de ambos años.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Vale también destacar que en la base de 2005 no se encontraron valores </w:t>
      </w:r>
      <w:r w:rsidDel="00000000" w:rsidR="00000000" w:rsidRPr="00000000">
        <w:rPr>
          <w:i w:val="1"/>
          <w:rtl w:val="0"/>
        </w:rPr>
        <w:t xml:space="preserve">missing</w:t>
      </w:r>
      <w:r w:rsidDel="00000000" w:rsidR="00000000" w:rsidRPr="00000000">
        <w:rPr>
          <w:rtl w:val="0"/>
        </w:rPr>
        <w:t xml:space="preserve">, pero sí en la de 2025 (8.457 valores </w:t>
      </w:r>
      <w:r w:rsidDel="00000000" w:rsidR="00000000" w:rsidRPr="00000000">
        <w:rPr>
          <w:i w:val="1"/>
          <w:rtl w:val="0"/>
        </w:rPr>
        <w:t xml:space="preserve">missing</w:t>
      </w:r>
      <w:r w:rsidDel="00000000" w:rsidR="00000000" w:rsidRPr="00000000">
        <w:rPr>
          <w:rtl w:val="0"/>
        </w:rPr>
        <w:t xml:space="preserve">). </w:t>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Las siguientes operaciones se realizaron para homogeneizar el formato de los datos:</w:t>
      </w:r>
    </w:p>
    <w:p w:rsidR="00000000" w:rsidDel="00000000" w:rsidP="00000000" w:rsidRDefault="00000000" w:rsidRPr="00000000" w14:paraId="00000054">
      <w:pPr>
        <w:numPr>
          <w:ilvl w:val="0"/>
          <w:numId w:val="1"/>
        </w:numPr>
        <w:ind w:left="720" w:hanging="360"/>
        <w:jc w:val="both"/>
        <w:rPr/>
      </w:pPr>
      <w:r w:rsidDel="00000000" w:rsidR="00000000" w:rsidRPr="00000000">
        <w:rPr>
          <w:rtl w:val="0"/>
        </w:rPr>
        <w:t xml:space="preserve">Se ajustaron los valores y los formatos de la base de 2005 para homologarlos a la de 2025</w:t>
      </w:r>
    </w:p>
    <w:p w:rsidR="00000000" w:rsidDel="00000000" w:rsidP="00000000" w:rsidRDefault="00000000" w:rsidRPr="00000000" w14:paraId="00000055">
      <w:pPr>
        <w:numPr>
          <w:ilvl w:val="0"/>
          <w:numId w:val="1"/>
        </w:numPr>
        <w:ind w:left="720" w:hanging="360"/>
        <w:jc w:val="both"/>
        <w:rPr/>
      </w:pPr>
      <w:r w:rsidDel="00000000" w:rsidR="00000000" w:rsidRPr="00000000">
        <w:rPr>
          <w:rtl w:val="0"/>
        </w:rPr>
        <w:t xml:space="preserve">Para el caso de la edad (CH06) en la base de 2025, se agruparon a las personas de 98 año o más en un mismo grupo para homologar con la base de 2005</w:t>
      </w:r>
    </w:p>
    <w:p w:rsidR="00000000" w:rsidDel="00000000" w:rsidP="00000000" w:rsidRDefault="00000000" w:rsidRPr="00000000" w14:paraId="00000056">
      <w:pPr>
        <w:numPr>
          <w:ilvl w:val="0"/>
          <w:numId w:val="1"/>
        </w:numPr>
        <w:ind w:left="720" w:hanging="360"/>
        <w:jc w:val="both"/>
        <w:rPr/>
      </w:pPr>
      <w:r w:rsidDel="00000000" w:rsidR="00000000" w:rsidRPr="00000000">
        <w:rPr>
          <w:rtl w:val="0"/>
        </w:rPr>
        <w:t xml:space="preserve">Los valores -1, -2, -3 y -9 se registraron como NA</w:t>
      </w:r>
    </w:p>
    <w:p w:rsidR="00000000" w:rsidDel="00000000" w:rsidP="00000000" w:rsidRDefault="00000000" w:rsidRPr="00000000" w14:paraId="00000057">
      <w:pPr>
        <w:numPr>
          <w:ilvl w:val="0"/>
          <w:numId w:val="1"/>
        </w:numPr>
        <w:ind w:left="720" w:hanging="360"/>
        <w:jc w:val="both"/>
        <w:rPr/>
      </w:pPr>
      <w:r w:rsidDel="00000000" w:rsidR="00000000" w:rsidRPr="00000000">
        <w:rPr>
          <w:rtl w:val="0"/>
        </w:rPr>
        <w:t xml:space="preserve">En las columnas de CAT_INAC y PP04A se ajustan los valores 0 a NA, ya que en el manual del EPH no se indica que éstas puedan adoptar valor 0.</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2. Primer Análisis Exploratorio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Figura 1. Participación por sexo en la Región Pampeana (primer trimestre).</w:t>
      </w:r>
      <w:r w:rsidDel="00000000" w:rsidR="00000000" w:rsidRPr="00000000">
        <w:drawing>
          <wp:anchor allowOverlap="1" behindDoc="1" distB="114300" distT="114300" distL="114300" distR="114300" hidden="0" layoutInCell="1" locked="0" relativeHeight="0" simplePos="0">
            <wp:simplePos x="0" y="0"/>
            <wp:positionH relativeFrom="column">
              <wp:posOffset>800100</wp:posOffset>
            </wp:positionH>
            <wp:positionV relativeFrom="paragraph">
              <wp:posOffset>209550</wp:posOffset>
            </wp:positionV>
            <wp:extent cx="3357563" cy="206889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57563" cy="2068890"/>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i w:val="1"/>
          <w:sz w:val="18"/>
          <w:szCs w:val="18"/>
        </w:rPr>
      </w:pPr>
      <w:r w:rsidDel="00000000" w:rsidR="00000000" w:rsidRPr="00000000">
        <w:rPr>
          <w:rtl w:val="0"/>
        </w:rPr>
      </w:r>
    </w:p>
    <w:p w:rsidR="00000000" w:rsidDel="00000000" w:rsidP="00000000" w:rsidRDefault="00000000" w:rsidRPr="00000000" w14:paraId="00000068">
      <w:pPr>
        <w:ind w:left="720" w:firstLine="720"/>
        <w:jc w:val="both"/>
        <w:rPr>
          <w:sz w:val="18"/>
          <w:szCs w:val="18"/>
        </w:rPr>
      </w:pPr>
      <w:r w:rsidDel="00000000" w:rsidR="00000000" w:rsidRPr="00000000">
        <w:rPr>
          <w:i w:val="1"/>
          <w:sz w:val="18"/>
          <w:szCs w:val="18"/>
          <w:rtl w:val="0"/>
        </w:rPr>
        <w:t xml:space="preserve">     Nota</w:t>
      </w:r>
      <w:r w:rsidDel="00000000" w:rsidR="00000000" w:rsidRPr="00000000">
        <w:rPr>
          <w:sz w:val="18"/>
          <w:szCs w:val="18"/>
          <w:rtl w:val="0"/>
        </w:rPr>
        <w:t xml:space="preserve">. Elaboración propia con datos de la EPH 2025.</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El gráfico muestra la distribución porcentual de la población por sexo para los años 2005 y 2025 en la Región Pampeana, según los datos de la Encuesta Permanente de Hogares (EPH) correspondientes al primer trimestre de cada año. En ambos períodos se observa una estructura demográfica estable en términos de composición por sexo. Las mujeres representan aproximadamente </w:t>
      </w:r>
      <w:r w:rsidDel="00000000" w:rsidR="00000000" w:rsidRPr="00000000">
        <w:rPr>
          <w:rtl w:val="0"/>
        </w:rPr>
        <w:t xml:space="preserve">el 52 %</w:t>
      </w:r>
      <w:r w:rsidDel="00000000" w:rsidR="00000000" w:rsidRPr="00000000">
        <w:rPr>
          <w:rtl w:val="0"/>
        </w:rPr>
        <w:t xml:space="preserve"> de la población, mientras que los varones conforman </w:t>
      </w:r>
      <w:r w:rsidDel="00000000" w:rsidR="00000000" w:rsidRPr="00000000">
        <w:rPr>
          <w:rtl w:val="0"/>
        </w:rPr>
        <w:t xml:space="preserve">el 48 %</w:t>
      </w:r>
      <w:r w:rsidDel="00000000" w:rsidR="00000000" w:rsidRPr="00000000">
        <w:rPr>
          <w:rtl w:val="0"/>
        </w:rPr>
        <w:t xml:space="preserve"> restante, manteniéndose prácticamente sin cambios a lo largo del tiempo.</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Esta estabilidad refleja que, a pesar de las variaciones en la cantidad total de personas registradas entre ambos años, la proporción relativa entre mujeres y varones se mantiene constante. En línea con las tendencias demográficas nacionales, puede advertirse una ligera mayor participación femenina, coherente con la mayor esperanza de vida de las mujeres y la evolución poblacional observada en las proyecciones del país. En síntesis, el gráfico evidencia que no se produjeron cambios significativos en la composición por sexo dentro de la Región Pampeana durante el período analizado.</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Figura 2. Matriz de correlación de variables de interés</w:t>
      </w:r>
    </w:p>
    <w:p w:rsidR="00000000" w:rsidDel="00000000" w:rsidP="00000000" w:rsidRDefault="00000000" w:rsidRPr="00000000" w14:paraId="0000006F">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395663" cy="259498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95663" cy="2594981"/>
                    </a:xfrm>
                    <a:prstGeom prst="rect"/>
                    <a:ln/>
                  </pic:spPr>
                </pic:pic>
              </a:graphicData>
            </a:graphic>
          </wp:anchor>
        </w:drawing>
      </w:r>
    </w:p>
    <w:p w:rsidR="00000000" w:rsidDel="00000000" w:rsidP="00000000" w:rsidRDefault="00000000" w:rsidRPr="00000000" w14:paraId="00000070">
      <w:pPr>
        <w:jc w:val="both"/>
        <w:rPr/>
      </w:pPr>
      <w:r w:rsidDel="00000000" w:rsidR="00000000" w:rsidRPr="00000000">
        <w:rPr>
          <w:rtl w:val="0"/>
        </w:rPr>
        <w:t xml:space="preserve">Se observa una correlación positiva moderada entre el nivel educativo alcanzado y el ingreso per cápita familiar, dado que la mayor parte de los valores están por debajo de 0,4. Esto sugiere que mayores niveles de instrucción están asociados con mejores condiciones económicas.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Asimismo, la edad muestra una correlación positiva con la categoría de inactividad (0,18), reflejando que los grupos etarios mayores tienden a estar fuera del mercado laboral, posiblemente por jubilación. Por otro lado, la condición de actividad presenta una correlación negativa con la categoría de inactividad, como era de suponerse, dado que ambas variables capturan estados mutuamente excluyentes. Las correlaciones entre sexo y otras variables son débiles, lo que indica que, en este conjunto de datos, el género no está fuertemente asociado con diferencias en educación, ingreso o actividad.</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3. Conociendo a los pobres y no pobres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Figura 3. Porcentaje de pobreza en la Región Pampeana (primer trimestre)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242205" cy="222151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42205" cy="2221511"/>
                    </a:xfrm>
                    <a:prstGeom prst="rect"/>
                    <a:ln/>
                  </pic:spPr>
                </pic:pic>
              </a:graphicData>
            </a:graphic>
          </wp:anchor>
        </w:drawing>
      </w:r>
    </w:p>
    <w:p w:rsidR="00000000" w:rsidDel="00000000" w:rsidP="00000000" w:rsidRDefault="00000000" w:rsidRPr="00000000" w14:paraId="00000077">
      <w:pPr>
        <w:jc w:val="both"/>
        <w:rPr>
          <w:b w:val="1"/>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De los encuestados en la región Pampeana, 24 personas no respondieron su condición de actividad tanto en 2005 como en 2025, pero en el primer año representaba 0.16% del total, y en 2025 eran el 0.51%. Por lo tanto, en veinte años se registró un aumento en términos relativos de la cantidad de personas que no responden dicha cuestión en 0.35 puntos porcentuales, casi el doble del punto inicial.</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Dado que, para el primer trimestre del año 2005, la Canasta Básica Total para un adulto equivalía aproximadamente a ARS 205,07, se identificaron 4.195 personas que no cubrían dicho valor, lo que representa el 28,7% de la muestra. En cambio, para el respectivo trimestre del año 2025, se identificaron 1.652 personas que no cubrieron los ARS 365.177 de la Canasta Básica Total, que representan el 49.46% de la muestra.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Lo anterior refleja un desmejoramiento generalizado de los niveles de pobreza en la región Pampeana: hace veinte años, casi tres personas de cada diez cuyos hogares reportaron su ingreso total familiar en la EPH eran consideradas pobres, mientras que ahora, en el primer trimestre de 2025, fueron casi cinco.</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b w:val="1"/>
          <w:rtl w:val="0"/>
        </w:rPr>
        <w:t xml:space="preserve">Figura 4. Nivel educativo de personas pobres y no pobres (primer trimestre)</w:t>
      </w:r>
      <w:r w:rsidDel="00000000" w:rsidR="00000000" w:rsidRPr="00000000">
        <w:rPr>
          <w:rtl w:val="0"/>
        </w:rPr>
      </w:r>
    </w:p>
    <w:tbl>
      <w:tblPr>
        <w:tblStyle w:val="Table2"/>
        <w:tblW w:w="8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4935"/>
        <w:gridCol w:w="1065"/>
        <w:gridCol w:w="1185"/>
        <w:tblGridChange w:id="0">
          <w:tblGrid>
            <w:gridCol w:w="885"/>
            <w:gridCol w:w="4935"/>
            <w:gridCol w:w="1065"/>
            <w:gridCol w:w="1185"/>
          </w:tblGrid>
        </w:tblGridChange>
      </w:tblGrid>
      <w:tr>
        <w:trPr>
          <w:cantSplit w:val="0"/>
          <w:trHeight w:val="283.46456692913387" w:hRule="atLeast"/>
          <w:tblHeader w:val="0"/>
        </w:trPr>
        <w:tc>
          <w:tcPr>
            <w:tcBorders>
              <w:top w:color="1f1f1f" w:space="0" w:sz="8" w:val="single"/>
              <w:left w:color="1f1f1f" w:space="0" w:sz="8" w:val="single"/>
              <w:bottom w:color="1f1f1f" w:space="0" w:sz="8" w:val="single"/>
              <w:right w:color="1f1f1f"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F">
            <w:pPr>
              <w:spacing w:line="240" w:lineRule="auto"/>
              <w:jc w:val="center"/>
              <w:rPr>
                <w:color w:val="1f1f1f"/>
                <w:sz w:val="18"/>
                <w:szCs w:val="18"/>
              </w:rPr>
            </w:pPr>
            <w:r w:rsidDel="00000000" w:rsidR="00000000" w:rsidRPr="00000000">
              <w:rPr>
                <w:b w:val="1"/>
                <w:color w:val="1f1f1f"/>
                <w:sz w:val="18"/>
                <w:szCs w:val="18"/>
                <w:rtl w:val="0"/>
              </w:rPr>
              <w:t xml:space="preserve">Año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spacing w:line="240" w:lineRule="auto"/>
              <w:jc w:val="left"/>
              <w:rPr>
                <w:color w:val="1f1f1f"/>
                <w:sz w:val="18"/>
                <w:szCs w:val="18"/>
              </w:rPr>
            </w:pPr>
            <w:r w:rsidDel="00000000" w:rsidR="00000000" w:rsidRPr="00000000">
              <w:rPr>
                <w:b w:val="1"/>
                <w:color w:val="1f1f1f"/>
                <w:sz w:val="18"/>
                <w:szCs w:val="18"/>
                <w:rtl w:val="0"/>
              </w:rPr>
              <w:t xml:space="preserve">Nivel educativo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spacing w:line="240" w:lineRule="auto"/>
              <w:jc w:val="left"/>
              <w:rPr>
                <w:b w:val="1"/>
                <w:color w:val="1f1f1f"/>
                <w:sz w:val="18"/>
                <w:szCs w:val="18"/>
              </w:rPr>
            </w:pPr>
            <w:r w:rsidDel="00000000" w:rsidR="00000000" w:rsidRPr="00000000">
              <w:rPr>
                <w:b w:val="1"/>
                <w:color w:val="1f1f1f"/>
                <w:sz w:val="18"/>
                <w:szCs w:val="18"/>
                <w:rtl w:val="0"/>
              </w:rPr>
              <w:t xml:space="preserve">No pobre</w:t>
            </w:r>
          </w:p>
        </w:tc>
        <w:tc>
          <w:tcPr>
            <w:tcBorders>
              <w:top w:color="1f1f1f" w:space="0" w:sz="8" w:val="single"/>
              <w:left w:color="1f1f1f" w:space="0" w:sz="8" w:val="single"/>
              <w:bottom w:color="1f1f1f" w:space="0" w:sz="8" w:val="single"/>
              <w:right w:color="1f1f1f"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2">
            <w:pPr>
              <w:spacing w:line="240" w:lineRule="auto"/>
              <w:jc w:val="center"/>
              <w:rPr>
                <w:b w:val="1"/>
                <w:color w:val="1f1f1f"/>
                <w:sz w:val="18"/>
                <w:szCs w:val="18"/>
              </w:rPr>
            </w:pPr>
            <w:r w:rsidDel="00000000" w:rsidR="00000000" w:rsidRPr="00000000">
              <w:rPr>
                <w:b w:val="1"/>
                <w:color w:val="1f1f1f"/>
                <w:sz w:val="18"/>
                <w:szCs w:val="18"/>
                <w:rtl w:val="0"/>
              </w:rPr>
              <w:t xml:space="preserve">Pobre</w:t>
            </w:r>
          </w:p>
        </w:tc>
      </w:tr>
      <w:tr>
        <w:trPr>
          <w:cantSplit w:val="0"/>
          <w:trHeight w:val="283.46456692913387" w:hRule="atLeast"/>
          <w:tblHeader w:val="0"/>
        </w:trPr>
        <w:tc>
          <w:tcPr>
            <w:vMerge w:val="restart"/>
            <w:tcBorders>
              <w:top w:color="1f1f1f" w:space="0" w:sz="8" w:val="single"/>
              <w:left w:color="1f1f1f" w:space="0" w:sz="8" w:val="single"/>
              <w:bottom w:color="1f1f1f" w:space="0" w:sz="8" w:val="single"/>
              <w:right w:color="1f1f1f"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3">
            <w:pPr>
              <w:spacing w:line="240" w:lineRule="auto"/>
              <w:jc w:val="center"/>
              <w:rPr>
                <w:color w:val="1f1f1f"/>
                <w:sz w:val="18"/>
                <w:szCs w:val="18"/>
              </w:rPr>
            </w:pPr>
            <w:r w:rsidDel="00000000" w:rsidR="00000000" w:rsidRPr="00000000">
              <w:rPr>
                <w:b w:val="1"/>
                <w:color w:val="1f1f1f"/>
                <w:sz w:val="18"/>
                <w:szCs w:val="18"/>
                <w:rtl w:val="0"/>
              </w:rPr>
              <w:t xml:space="preserve">2005</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spacing w:line="240" w:lineRule="auto"/>
              <w:rPr>
                <w:color w:val="1f1f1f"/>
                <w:sz w:val="18"/>
                <w:szCs w:val="18"/>
              </w:rPr>
            </w:pPr>
            <w:r w:rsidDel="00000000" w:rsidR="00000000" w:rsidRPr="00000000">
              <w:rPr>
                <w:b w:val="1"/>
                <w:color w:val="1f1f1f"/>
                <w:sz w:val="18"/>
                <w:szCs w:val="18"/>
                <w:rtl w:val="0"/>
              </w:rPr>
              <w:t xml:space="preserve">Primario completo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spacing w:line="240" w:lineRule="auto"/>
              <w:jc w:val="right"/>
              <w:rPr>
                <w:color w:val="1f1f1f"/>
                <w:sz w:val="18"/>
                <w:szCs w:val="18"/>
              </w:rPr>
            </w:pPr>
            <w:r w:rsidDel="00000000" w:rsidR="00000000" w:rsidRPr="00000000">
              <w:rPr>
                <w:color w:val="1f1f1f"/>
                <w:sz w:val="18"/>
                <w:szCs w:val="18"/>
                <w:rtl w:val="0"/>
              </w:rPr>
              <w:t xml:space="preserve">66.95%</w:t>
            </w:r>
          </w:p>
        </w:tc>
        <w:tc>
          <w:tcPr>
            <w:tcBorders>
              <w:top w:color="1f1f1f" w:space="0" w:sz="8" w:val="single"/>
              <w:left w:color="1f1f1f" w:space="0" w:sz="8" w:val="single"/>
              <w:bottom w:color="1f1f1f" w:space="0" w:sz="8" w:val="single"/>
              <w:right w:color="1f1f1f"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spacing w:line="240" w:lineRule="auto"/>
              <w:jc w:val="right"/>
              <w:rPr>
                <w:color w:val="1f1f1f"/>
                <w:sz w:val="18"/>
                <w:szCs w:val="18"/>
              </w:rPr>
            </w:pPr>
            <w:r w:rsidDel="00000000" w:rsidR="00000000" w:rsidRPr="00000000">
              <w:rPr>
                <w:color w:val="1f1f1f"/>
                <w:sz w:val="18"/>
                <w:szCs w:val="18"/>
                <w:rtl w:val="0"/>
              </w:rPr>
              <w:t xml:space="preserve">33.05%</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8">
            <w:pPr>
              <w:spacing w:line="240" w:lineRule="auto"/>
              <w:rPr>
                <w:color w:val="1f1f1f"/>
                <w:sz w:val="18"/>
                <w:szCs w:val="18"/>
              </w:rPr>
            </w:pPr>
            <w:r w:rsidDel="00000000" w:rsidR="00000000" w:rsidRPr="00000000">
              <w:rPr>
                <w:b w:val="1"/>
                <w:color w:val="1f1f1f"/>
                <w:sz w:val="18"/>
                <w:szCs w:val="18"/>
                <w:rtl w:val="0"/>
              </w:rPr>
              <w:t xml:space="preserve">Primario incompleto (incluye educación especial)</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spacing w:line="240" w:lineRule="auto"/>
              <w:jc w:val="right"/>
              <w:rPr>
                <w:color w:val="1f1f1f"/>
                <w:sz w:val="18"/>
                <w:szCs w:val="18"/>
              </w:rPr>
            </w:pPr>
            <w:r w:rsidDel="00000000" w:rsidR="00000000" w:rsidRPr="00000000">
              <w:rPr>
                <w:color w:val="1f1f1f"/>
                <w:sz w:val="18"/>
                <w:szCs w:val="18"/>
                <w:rtl w:val="0"/>
              </w:rPr>
              <w:t xml:space="preserve">56.14%</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spacing w:line="240" w:lineRule="auto"/>
              <w:jc w:val="right"/>
              <w:rPr>
                <w:color w:val="1f1f1f"/>
                <w:sz w:val="18"/>
                <w:szCs w:val="18"/>
              </w:rPr>
            </w:pPr>
            <w:r w:rsidDel="00000000" w:rsidR="00000000" w:rsidRPr="00000000">
              <w:rPr>
                <w:color w:val="1f1f1f"/>
                <w:sz w:val="18"/>
                <w:szCs w:val="18"/>
                <w:rtl w:val="0"/>
              </w:rPr>
              <w:t xml:space="preserve">43.86%</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C">
            <w:pPr>
              <w:spacing w:line="240" w:lineRule="auto"/>
              <w:rPr>
                <w:color w:val="1f1f1f"/>
                <w:sz w:val="18"/>
                <w:szCs w:val="18"/>
              </w:rPr>
            </w:pPr>
            <w:r w:rsidDel="00000000" w:rsidR="00000000" w:rsidRPr="00000000">
              <w:rPr>
                <w:b w:val="1"/>
                <w:color w:val="1f1f1f"/>
                <w:sz w:val="18"/>
                <w:szCs w:val="18"/>
                <w:rtl w:val="0"/>
              </w:rPr>
              <w:t xml:space="preserve">Secundario completo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spacing w:line="240" w:lineRule="auto"/>
              <w:jc w:val="right"/>
              <w:rPr>
                <w:color w:val="1f1f1f"/>
                <w:sz w:val="18"/>
                <w:szCs w:val="18"/>
              </w:rPr>
            </w:pPr>
            <w:r w:rsidDel="00000000" w:rsidR="00000000" w:rsidRPr="00000000">
              <w:rPr>
                <w:color w:val="1f1f1f"/>
                <w:sz w:val="18"/>
                <w:szCs w:val="18"/>
                <w:rtl w:val="0"/>
              </w:rPr>
              <w:t xml:space="preserve">82.66%</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spacing w:line="240" w:lineRule="auto"/>
              <w:jc w:val="right"/>
              <w:rPr>
                <w:color w:val="1f1f1f"/>
                <w:sz w:val="18"/>
                <w:szCs w:val="18"/>
              </w:rPr>
            </w:pPr>
            <w:r w:rsidDel="00000000" w:rsidR="00000000" w:rsidRPr="00000000">
              <w:rPr>
                <w:color w:val="1f1f1f"/>
                <w:sz w:val="18"/>
                <w:szCs w:val="18"/>
                <w:rtl w:val="0"/>
              </w:rPr>
              <w:t xml:space="preserve">17.34%</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0">
            <w:pPr>
              <w:spacing w:line="240" w:lineRule="auto"/>
              <w:rPr>
                <w:color w:val="1f1f1f"/>
                <w:sz w:val="18"/>
                <w:szCs w:val="18"/>
              </w:rPr>
            </w:pPr>
            <w:r w:rsidDel="00000000" w:rsidR="00000000" w:rsidRPr="00000000">
              <w:rPr>
                <w:b w:val="1"/>
                <w:color w:val="1f1f1f"/>
                <w:sz w:val="18"/>
                <w:szCs w:val="18"/>
                <w:rtl w:val="0"/>
              </w:rPr>
              <w:t xml:space="preserve">Secundario incompleto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spacing w:line="240" w:lineRule="auto"/>
              <w:jc w:val="right"/>
              <w:rPr>
                <w:color w:val="1f1f1f"/>
                <w:sz w:val="18"/>
                <w:szCs w:val="18"/>
              </w:rPr>
            </w:pPr>
            <w:r w:rsidDel="00000000" w:rsidR="00000000" w:rsidRPr="00000000">
              <w:rPr>
                <w:color w:val="1f1f1f"/>
                <w:sz w:val="18"/>
                <w:szCs w:val="18"/>
                <w:rtl w:val="0"/>
              </w:rPr>
              <w:t xml:space="preserve">65.43%</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spacing w:line="240" w:lineRule="auto"/>
              <w:jc w:val="right"/>
              <w:rPr>
                <w:color w:val="1f1f1f"/>
                <w:sz w:val="18"/>
                <w:szCs w:val="18"/>
              </w:rPr>
            </w:pPr>
            <w:r w:rsidDel="00000000" w:rsidR="00000000" w:rsidRPr="00000000">
              <w:rPr>
                <w:color w:val="1f1f1f"/>
                <w:sz w:val="18"/>
                <w:szCs w:val="18"/>
                <w:rtl w:val="0"/>
              </w:rPr>
              <w:t xml:space="preserve">34.57%</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3">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4">
            <w:pPr>
              <w:spacing w:line="240" w:lineRule="auto"/>
              <w:rPr>
                <w:color w:val="1f1f1f"/>
                <w:sz w:val="18"/>
                <w:szCs w:val="18"/>
              </w:rPr>
            </w:pPr>
            <w:r w:rsidDel="00000000" w:rsidR="00000000" w:rsidRPr="00000000">
              <w:rPr>
                <w:b w:val="1"/>
                <w:color w:val="1f1f1f"/>
                <w:sz w:val="18"/>
                <w:szCs w:val="18"/>
                <w:rtl w:val="0"/>
              </w:rPr>
              <w:t xml:space="preserve">Sin instrucción</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spacing w:line="240" w:lineRule="auto"/>
              <w:jc w:val="right"/>
              <w:rPr>
                <w:color w:val="1f1f1f"/>
                <w:sz w:val="18"/>
                <w:szCs w:val="18"/>
              </w:rPr>
            </w:pPr>
            <w:r w:rsidDel="00000000" w:rsidR="00000000" w:rsidRPr="00000000">
              <w:rPr>
                <w:color w:val="1f1f1f"/>
                <w:sz w:val="18"/>
                <w:szCs w:val="18"/>
                <w:rtl w:val="0"/>
              </w:rPr>
              <w:t xml:space="preserve">60.00%</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spacing w:line="240" w:lineRule="auto"/>
              <w:jc w:val="right"/>
              <w:rPr>
                <w:color w:val="1f1f1f"/>
                <w:sz w:val="18"/>
                <w:szCs w:val="18"/>
              </w:rPr>
            </w:pPr>
            <w:r w:rsidDel="00000000" w:rsidR="00000000" w:rsidRPr="00000000">
              <w:rPr>
                <w:color w:val="1f1f1f"/>
                <w:sz w:val="18"/>
                <w:szCs w:val="18"/>
                <w:rtl w:val="0"/>
              </w:rPr>
              <w:t xml:space="preserve">40.00%</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8">
            <w:pPr>
              <w:spacing w:line="240" w:lineRule="auto"/>
              <w:rPr>
                <w:color w:val="1f1f1f"/>
                <w:sz w:val="18"/>
                <w:szCs w:val="18"/>
              </w:rPr>
            </w:pPr>
            <w:r w:rsidDel="00000000" w:rsidR="00000000" w:rsidRPr="00000000">
              <w:rPr>
                <w:b w:val="1"/>
                <w:color w:val="1f1f1f"/>
                <w:sz w:val="18"/>
                <w:szCs w:val="18"/>
                <w:rtl w:val="0"/>
              </w:rPr>
              <w:t xml:space="preserve">Superior y universitario completo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spacing w:line="240" w:lineRule="auto"/>
              <w:jc w:val="right"/>
              <w:rPr>
                <w:color w:val="1f1f1f"/>
                <w:sz w:val="18"/>
                <w:szCs w:val="18"/>
              </w:rPr>
            </w:pPr>
            <w:r w:rsidDel="00000000" w:rsidR="00000000" w:rsidRPr="00000000">
              <w:rPr>
                <w:color w:val="1f1f1f"/>
                <w:sz w:val="18"/>
                <w:szCs w:val="18"/>
                <w:rtl w:val="0"/>
              </w:rPr>
              <w:t xml:space="preserve">95.49%</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spacing w:line="240" w:lineRule="auto"/>
              <w:jc w:val="right"/>
              <w:rPr>
                <w:color w:val="1f1f1f"/>
                <w:sz w:val="18"/>
                <w:szCs w:val="18"/>
              </w:rPr>
            </w:pPr>
            <w:r w:rsidDel="00000000" w:rsidR="00000000" w:rsidRPr="00000000">
              <w:rPr>
                <w:color w:val="1f1f1f"/>
                <w:sz w:val="18"/>
                <w:szCs w:val="18"/>
                <w:rtl w:val="0"/>
              </w:rPr>
              <w:t xml:space="preserve">4.51%</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C">
            <w:pPr>
              <w:spacing w:line="240" w:lineRule="auto"/>
              <w:rPr>
                <w:color w:val="1f1f1f"/>
                <w:sz w:val="18"/>
                <w:szCs w:val="18"/>
              </w:rPr>
            </w:pPr>
            <w:r w:rsidDel="00000000" w:rsidR="00000000" w:rsidRPr="00000000">
              <w:rPr>
                <w:b w:val="1"/>
                <w:color w:val="1f1f1f"/>
                <w:sz w:val="18"/>
                <w:szCs w:val="18"/>
                <w:rtl w:val="0"/>
              </w:rPr>
              <w:t xml:space="preserve">Superior y universitario incompleto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spacing w:line="240" w:lineRule="auto"/>
              <w:jc w:val="right"/>
              <w:rPr>
                <w:color w:val="1f1f1f"/>
                <w:sz w:val="18"/>
                <w:szCs w:val="18"/>
              </w:rPr>
            </w:pPr>
            <w:r w:rsidDel="00000000" w:rsidR="00000000" w:rsidRPr="00000000">
              <w:rPr>
                <w:color w:val="1f1f1f"/>
                <w:sz w:val="18"/>
                <w:szCs w:val="18"/>
                <w:rtl w:val="0"/>
              </w:rPr>
              <w:t xml:space="preserve">86.88%</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spacing w:line="240" w:lineRule="auto"/>
              <w:jc w:val="right"/>
              <w:rPr>
                <w:color w:val="1f1f1f"/>
                <w:sz w:val="18"/>
                <w:szCs w:val="18"/>
              </w:rPr>
            </w:pPr>
            <w:r w:rsidDel="00000000" w:rsidR="00000000" w:rsidRPr="00000000">
              <w:rPr>
                <w:color w:val="1f1f1f"/>
                <w:sz w:val="18"/>
                <w:szCs w:val="18"/>
                <w:rtl w:val="0"/>
              </w:rPr>
              <w:t xml:space="preserve">13.12%</w:t>
            </w:r>
          </w:p>
        </w:tc>
      </w:tr>
      <w:tr>
        <w:trPr>
          <w:cantSplit w:val="0"/>
          <w:trHeight w:val="283.46456692913387" w:hRule="atLeast"/>
          <w:tblHeader w:val="0"/>
        </w:trPr>
        <w:tc>
          <w:tcPr>
            <w:vMerge w:val="restart"/>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spacing w:line="240" w:lineRule="auto"/>
              <w:jc w:val="center"/>
              <w:rPr>
                <w:color w:val="1f1f1f"/>
                <w:sz w:val="18"/>
                <w:szCs w:val="18"/>
              </w:rPr>
            </w:pPr>
            <w:r w:rsidDel="00000000" w:rsidR="00000000" w:rsidRPr="00000000">
              <w:rPr>
                <w:b w:val="1"/>
                <w:color w:val="1f1f1f"/>
                <w:sz w:val="18"/>
                <w:szCs w:val="18"/>
                <w:rtl w:val="0"/>
              </w:rPr>
              <w:t xml:space="preserve">2025</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spacing w:line="240" w:lineRule="auto"/>
              <w:rPr>
                <w:color w:val="1f1f1f"/>
                <w:sz w:val="18"/>
                <w:szCs w:val="18"/>
              </w:rPr>
            </w:pPr>
            <w:r w:rsidDel="00000000" w:rsidR="00000000" w:rsidRPr="00000000">
              <w:rPr>
                <w:b w:val="1"/>
                <w:color w:val="1f1f1f"/>
                <w:sz w:val="18"/>
                <w:szCs w:val="18"/>
                <w:rtl w:val="0"/>
              </w:rPr>
              <w:t xml:space="preserve">Primario completo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spacing w:line="240" w:lineRule="auto"/>
              <w:jc w:val="right"/>
              <w:rPr>
                <w:color w:val="1f1f1f"/>
                <w:sz w:val="18"/>
                <w:szCs w:val="18"/>
              </w:rPr>
            </w:pPr>
            <w:r w:rsidDel="00000000" w:rsidR="00000000" w:rsidRPr="00000000">
              <w:rPr>
                <w:color w:val="1f1f1f"/>
                <w:sz w:val="18"/>
                <w:szCs w:val="18"/>
                <w:rtl w:val="0"/>
              </w:rPr>
              <w:t xml:space="preserve">53.52%</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spacing w:line="240" w:lineRule="auto"/>
              <w:jc w:val="right"/>
              <w:rPr>
                <w:color w:val="1f1f1f"/>
                <w:sz w:val="18"/>
                <w:szCs w:val="18"/>
              </w:rPr>
            </w:pPr>
            <w:r w:rsidDel="00000000" w:rsidR="00000000" w:rsidRPr="00000000">
              <w:rPr>
                <w:color w:val="1f1f1f"/>
                <w:sz w:val="18"/>
                <w:szCs w:val="18"/>
                <w:rtl w:val="0"/>
              </w:rPr>
              <w:t xml:space="preserve">46.48%</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4">
            <w:pPr>
              <w:spacing w:line="240" w:lineRule="auto"/>
              <w:rPr>
                <w:color w:val="1f1f1f"/>
                <w:sz w:val="18"/>
                <w:szCs w:val="18"/>
              </w:rPr>
            </w:pPr>
            <w:r w:rsidDel="00000000" w:rsidR="00000000" w:rsidRPr="00000000">
              <w:rPr>
                <w:b w:val="1"/>
                <w:color w:val="1f1f1f"/>
                <w:sz w:val="18"/>
                <w:szCs w:val="18"/>
                <w:rtl w:val="0"/>
              </w:rPr>
              <w:t xml:space="preserve">Primario incompleto (incluye educación especial)</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spacing w:line="240" w:lineRule="auto"/>
              <w:jc w:val="right"/>
              <w:rPr>
                <w:color w:val="1f1f1f"/>
                <w:sz w:val="18"/>
                <w:szCs w:val="18"/>
              </w:rPr>
            </w:pPr>
            <w:r w:rsidDel="00000000" w:rsidR="00000000" w:rsidRPr="00000000">
              <w:rPr>
                <w:color w:val="1f1f1f"/>
                <w:sz w:val="18"/>
                <w:szCs w:val="18"/>
                <w:rtl w:val="0"/>
              </w:rPr>
              <w:t xml:space="preserve">38.37%</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spacing w:line="240" w:lineRule="auto"/>
              <w:jc w:val="right"/>
              <w:rPr>
                <w:color w:val="1f1f1f"/>
                <w:sz w:val="18"/>
                <w:szCs w:val="18"/>
              </w:rPr>
            </w:pPr>
            <w:r w:rsidDel="00000000" w:rsidR="00000000" w:rsidRPr="00000000">
              <w:rPr>
                <w:color w:val="1f1f1f"/>
                <w:sz w:val="18"/>
                <w:szCs w:val="18"/>
                <w:rtl w:val="0"/>
              </w:rPr>
              <w:t xml:space="preserve">61.63%</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8">
            <w:pPr>
              <w:spacing w:line="240" w:lineRule="auto"/>
              <w:rPr>
                <w:color w:val="1f1f1f"/>
                <w:sz w:val="18"/>
                <w:szCs w:val="18"/>
              </w:rPr>
            </w:pPr>
            <w:r w:rsidDel="00000000" w:rsidR="00000000" w:rsidRPr="00000000">
              <w:rPr>
                <w:b w:val="1"/>
                <w:color w:val="1f1f1f"/>
                <w:sz w:val="18"/>
                <w:szCs w:val="18"/>
                <w:rtl w:val="0"/>
              </w:rPr>
              <w:t xml:space="preserve">Secundario completo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spacing w:line="240" w:lineRule="auto"/>
              <w:jc w:val="right"/>
              <w:rPr>
                <w:color w:val="1f1f1f"/>
                <w:sz w:val="18"/>
                <w:szCs w:val="18"/>
              </w:rPr>
            </w:pPr>
            <w:r w:rsidDel="00000000" w:rsidR="00000000" w:rsidRPr="00000000">
              <w:rPr>
                <w:color w:val="1f1f1f"/>
                <w:sz w:val="18"/>
                <w:szCs w:val="18"/>
                <w:rtl w:val="0"/>
              </w:rPr>
              <w:t xml:space="preserve">52.64%</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spacing w:line="240" w:lineRule="auto"/>
              <w:jc w:val="right"/>
              <w:rPr>
                <w:color w:val="1f1f1f"/>
                <w:sz w:val="18"/>
                <w:szCs w:val="18"/>
              </w:rPr>
            </w:pPr>
            <w:r w:rsidDel="00000000" w:rsidR="00000000" w:rsidRPr="00000000">
              <w:rPr>
                <w:color w:val="1f1f1f"/>
                <w:sz w:val="18"/>
                <w:szCs w:val="18"/>
                <w:rtl w:val="0"/>
              </w:rPr>
              <w:t xml:space="preserve">47.36%</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C">
            <w:pPr>
              <w:spacing w:line="240" w:lineRule="auto"/>
              <w:rPr>
                <w:color w:val="1f1f1f"/>
                <w:sz w:val="18"/>
                <w:szCs w:val="18"/>
              </w:rPr>
            </w:pPr>
            <w:r w:rsidDel="00000000" w:rsidR="00000000" w:rsidRPr="00000000">
              <w:rPr>
                <w:b w:val="1"/>
                <w:color w:val="1f1f1f"/>
                <w:sz w:val="18"/>
                <w:szCs w:val="18"/>
                <w:rtl w:val="0"/>
              </w:rPr>
              <w:t xml:space="preserve">Secundario incompleto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spacing w:line="240" w:lineRule="auto"/>
              <w:jc w:val="right"/>
              <w:rPr>
                <w:color w:val="1f1f1f"/>
                <w:sz w:val="18"/>
                <w:szCs w:val="18"/>
              </w:rPr>
            </w:pPr>
            <w:r w:rsidDel="00000000" w:rsidR="00000000" w:rsidRPr="00000000">
              <w:rPr>
                <w:color w:val="1f1f1f"/>
                <w:sz w:val="18"/>
                <w:szCs w:val="18"/>
                <w:rtl w:val="0"/>
              </w:rPr>
              <w:t xml:space="preserve">34.24%</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spacing w:line="240" w:lineRule="auto"/>
              <w:jc w:val="right"/>
              <w:rPr>
                <w:color w:val="1f1f1f"/>
                <w:sz w:val="18"/>
                <w:szCs w:val="18"/>
              </w:rPr>
            </w:pPr>
            <w:r w:rsidDel="00000000" w:rsidR="00000000" w:rsidRPr="00000000">
              <w:rPr>
                <w:color w:val="1f1f1f"/>
                <w:sz w:val="18"/>
                <w:szCs w:val="18"/>
                <w:rtl w:val="0"/>
              </w:rPr>
              <w:t xml:space="preserve">65.76%</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0">
            <w:pPr>
              <w:spacing w:line="240" w:lineRule="auto"/>
              <w:rPr>
                <w:color w:val="1f1f1f"/>
                <w:sz w:val="18"/>
                <w:szCs w:val="18"/>
              </w:rPr>
            </w:pPr>
            <w:r w:rsidDel="00000000" w:rsidR="00000000" w:rsidRPr="00000000">
              <w:rPr>
                <w:b w:val="1"/>
                <w:color w:val="1f1f1f"/>
                <w:sz w:val="18"/>
                <w:szCs w:val="18"/>
                <w:rtl w:val="0"/>
              </w:rPr>
              <w:t xml:space="preserve">Sin instrucción</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spacing w:line="240" w:lineRule="auto"/>
              <w:jc w:val="right"/>
              <w:rPr>
                <w:color w:val="1f1f1f"/>
                <w:sz w:val="18"/>
                <w:szCs w:val="18"/>
              </w:rPr>
            </w:pPr>
            <w:r w:rsidDel="00000000" w:rsidR="00000000" w:rsidRPr="00000000">
              <w:rPr>
                <w:color w:val="1f1f1f"/>
                <w:sz w:val="18"/>
                <w:szCs w:val="18"/>
                <w:rtl w:val="0"/>
              </w:rPr>
              <w:t xml:space="preserve">37.39%</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spacing w:line="240" w:lineRule="auto"/>
              <w:jc w:val="right"/>
              <w:rPr>
                <w:color w:val="1f1f1f"/>
                <w:sz w:val="18"/>
                <w:szCs w:val="18"/>
              </w:rPr>
            </w:pPr>
            <w:r w:rsidDel="00000000" w:rsidR="00000000" w:rsidRPr="00000000">
              <w:rPr>
                <w:color w:val="1f1f1f"/>
                <w:sz w:val="18"/>
                <w:szCs w:val="18"/>
                <w:rtl w:val="0"/>
              </w:rPr>
              <w:t xml:space="preserve">62.61%</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4">
            <w:pPr>
              <w:spacing w:line="240" w:lineRule="auto"/>
              <w:rPr>
                <w:color w:val="1f1f1f"/>
                <w:sz w:val="18"/>
                <w:szCs w:val="18"/>
              </w:rPr>
            </w:pPr>
            <w:r w:rsidDel="00000000" w:rsidR="00000000" w:rsidRPr="00000000">
              <w:rPr>
                <w:b w:val="1"/>
                <w:color w:val="1f1f1f"/>
                <w:sz w:val="18"/>
                <w:szCs w:val="18"/>
                <w:rtl w:val="0"/>
              </w:rPr>
              <w:t xml:space="preserve">Superior y universitario completo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5">
            <w:pPr>
              <w:spacing w:line="240" w:lineRule="auto"/>
              <w:jc w:val="right"/>
              <w:rPr>
                <w:color w:val="1f1f1f"/>
                <w:sz w:val="18"/>
                <w:szCs w:val="18"/>
              </w:rPr>
            </w:pPr>
            <w:r w:rsidDel="00000000" w:rsidR="00000000" w:rsidRPr="00000000">
              <w:rPr>
                <w:color w:val="1f1f1f"/>
                <w:sz w:val="18"/>
                <w:szCs w:val="18"/>
                <w:rtl w:val="0"/>
              </w:rPr>
              <w:t xml:space="preserve">82.25%</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6">
            <w:pPr>
              <w:spacing w:line="240" w:lineRule="auto"/>
              <w:jc w:val="right"/>
              <w:rPr>
                <w:color w:val="1f1f1f"/>
                <w:sz w:val="18"/>
                <w:szCs w:val="18"/>
              </w:rPr>
            </w:pPr>
            <w:r w:rsidDel="00000000" w:rsidR="00000000" w:rsidRPr="00000000">
              <w:rPr>
                <w:color w:val="1f1f1f"/>
                <w:sz w:val="18"/>
                <w:szCs w:val="18"/>
                <w:rtl w:val="0"/>
              </w:rPr>
              <w:t xml:space="preserve">17.75%</w:t>
            </w:r>
          </w:p>
        </w:tc>
      </w:tr>
      <w:tr>
        <w:trPr>
          <w:cantSplit w:val="0"/>
          <w:trHeight w:val="283.46456692913387" w:hRule="atLeast"/>
          <w:tblHeader w:val="0"/>
        </w:trPr>
        <w:tc>
          <w:tcPr>
            <w:vMerge w:val="continue"/>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7">
            <w:pPr>
              <w:rPr>
                <w:color w:val="1f1f1f"/>
                <w:sz w:val="21"/>
                <w:szCs w:val="21"/>
              </w:rPr>
            </w:pP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8">
            <w:pPr>
              <w:spacing w:line="240" w:lineRule="auto"/>
              <w:rPr>
                <w:color w:val="1f1f1f"/>
                <w:sz w:val="18"/>
                <w:szCs w:val="18"/>
              </w:rPr>
            </w:pPr>
            <w:r w:rsidDel="00000000" w:rsidR="00000000" w:rsidRPr="00000000">
              <w:rPr>
                <w:b w:val="1"/>
                <w:color w:val="1f1f1f"/>
                <w:sz w:val="18"/>
                <w:szCs w:val="18"/>
                <w:rtl w:val="0"/>
              </w:rPr>
              <w:t xml:space="preserve">Superior y universitario incompleto</w:t>
            </w:r>
            <w:r w:rsidDel="00000000" w:rsidR="00000000" w:rsidRPr="00000000">
              <w:rPr>
                <w:rtl w:val="0"/>
              </w:rPr>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spacing w:line="240" w:lineRule="auto"/>
              <w:jc w:val="right"/>
              <w:rPr>
                <w:color w:val="1f1f1f"/>
                <w:sz w:val="18"/>
                <w:szCs w:val="18"/>
              </w:rPr>
            </w:pPr>
            <w:r w:rsidDel="00000000" w:rsidR="00000000" w:rsidRPr="00000000">
              <w:rPr>
                <w:color w:val="1f1f1f"/>
                <w:sz w:val="18"/>
                <w:szCs w:val="18"/>
                <w:rtl w:val="0"/>
              </w:rPr>
              <w:t xml:space="preserve">58.36%</w:t>
            </w:r>
          </w:p>
        </w:tc>
        <w:tc>
          <w:tcPr>
            <w:tcBorders>
              <w:top w:color="1f1f1f" w:space="0" w:sz="8" w:val="single"/>
              <w:left w:color="1f1f1f" w:space="0" w:sz="8" w:val="single"/>
              <w:bottom w:color="1f1f1f" w:space="0" w:sz="8" w:val="single"/>
              <w:right w:color="1f1f1f"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spacing w:line="240" w:lineRule="auto"/>
              <w:jc w:val="right"/>
              <w:rPr>
                <w:color w:val="1f1f1f"/>
                <w:sz w:val="18"/>
                <w:szCs w:val="18"/>
              </w:rPr>
            </w:pPr>
            <w:r w:rsidDel="00000000" w:rsidR="00000000" w:rsidRPr="00000000">
              <w:rPr>
                <w:color w:val="1f1f1f"/>
                <w:sz w:val="18"/>
                <w:szCs w:val="18"/>
                <w:rtl w:val="0"/>
              </w:rPr>
              <w:t xml:space="preserve">41.64%</w:t>
            </w:r>
          </w:p>
        </w:tc>
      </w:tr>
    </w:tbl>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Se puede concluir que, tanto en 2005 como en 2025, a medida que aumenta el nivel educativo la proporción de personas pobres disminuye significativamente, confirmando la relación inversa entre educación y pobreza. La educación superior continúa actuando como un factor protector, ya que quienes poseen estudios terciarios o universitarios siguen siendo el grupo con menor incidencia de pobreza. No obstante, su capacidad de protección se redujo: mientras en 2005 apenas un 4,5% de las personas con educación universitaria completa eran pobres, en 2025 esa proporción asciende a casi un 18%.</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b w:val="1"/>
          <w:rtl w:val="0"/>
        </w:rPr>
        <w:t xml:space="preserve">Referencias bibliográficas</w:t>
      </w:r>
    </w:p>
    <w:p w:rsidR="00000000" w:rsidDel="00000000" w:rsidP="00000000" w:rsidRDefault="00000000" w:rsidRPr="00000000" w14:paraId="000000BF">
      <w:pPr>
        <w:spacing w:after="240" w:before="240" w:lineRule="auto"/>
        <w:ind w:left="708.6614173228347" w:hanging="708.6614173228347"/>
        <w:jc w:val="both"/>
        <w:rPr>
          <w:color w:val="1155cc"/>
          <w:u w:val="single"/>
        </w:rPr>
      </w:pPr>
      <w:r w:rsidDel="00000000" w:rsidR="00000000" w:rsidRPr="00000000">
        <w:rPr>
          <w:rtl w:val="0"/>
        </w:rPr>
        <w:t xml:space="preserve">Instituto Nacional de Estadística y Censos (INDEC). (2025a, agosto). </w:t>
      </w:r>
      <w:r w:rsidDel="00000000" w:rsidR="00000000" w:rsidRPr="00000000">
        <w:rPr>
          <w:i w:val="1"/>
          <w:rtl w:val="0"/>
        </w:rPr>
        <w:t xml:space="preserve">Encuesta Permanente de Hogares: Diseño de registros y estructura para las bases preliminares Hogar y Personas</w:t>
      </w:r>
      <w:r w:rsidDel="00000000" w:rsidR="00000000" w:rsidRPr="00000000">
        <w:rPr>
          <w:rtl w:val="0"/>
        </w:rPr>
        <w:t xml:space="preserve">. INDEC.</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https://www.indec.gob.ar</w:t>
        </w:r>
      </w:hyperlink>
      <w:r w:rsidDel="00000000" w:rsidR="00000000" w:rsidRPr="00000000">
        <w:rPr>
          <w:rtl w:val="0"/>
        </w:rPr>
      </w:r>
    </w:p>
    <w:p w:rsidR="00000000" w:rsidDel="00000000" w:rsidP="00000000" w:rsidRDefault="00000000" w:rsidRPr="00000000" w14:paraId="000000C0">
      <w:pPr>
        <w:ind w:left="708.6614173228347" w:hanging="708.6614173228347"/>
        <w:jc w:val="both"/>
        <w:rPr/>
      </w:pPr>
      <w:r w:rsidDel="00000000" w:rsidR="00000000" w:rsidRPr="00000000">
        <w:rPr>
          <w:rtl w:val="0"/>
        </w:rPr>
        <w:t xml:space="preserve">Instituto Nacional de Estadística y Censos (INDEC). (2025b). Encuesta Permanente de Hogares (EPH) total urbano: Evolución de la distribución del ingreso, tercer trimestre de 2024. Informes técnicos, 9(39). https://www.indec.gob.ar</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dec.gob.ar" TargetMode="External"/><Relationship Id="rId10" Type="http://schemas.openxmlformats.org/officeDocument/2006/relationships/hyperlink" Target="https://www.indec.gob.ar"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